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BE4F" w14:textId="62B10646" w:rsidR="005023B0" w:rsidRPr="0043503B" w:rsidRDefault="002A4614" w:rsidP="00E10FE3">
      <w:pPr>
        <w:jc w:val="center"/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>Proposal from Viasat (India) Ltd. for review of NFAP-2022</w:t>
      </w:r>
      <w:r w:rsidR="008629B5">
        <w:rPr>
          <w:rFonts w:ascii="Aptos" w:hAnsi="Aptos"/>
          <w:b/>
          <w:bCs/>
          <w:u w:val="single"/>
        </w:rPr>
        <w:t xml:space="preserve"> (WG 2)</w:t>
      </w:r>
      <w:r>
        <w:rPr>
          <w:rFonts w:ascii="Aptos" w:hAnsi="Aptos"/>
          <w:b/>
          <w:bCs/>
          <w:u w:val="single"/>
        </w:rPr>
        <w:t xml:space="preserve"> </w:t>
      </w:r>
    </w:p>
    <w:p w14:paraId="56D28F93" w14:textId="77777777" w:rsidR="00562232" w:rsidRPr="0043503B" w:rsidRDefault="00562232" w:rsidP="0043503B">
      <w:pPr>
        <w:jc w:val="both"/>
        <w:rPr>
          <w:rFonts w:ascii="Aptos" w:hAnsi="Aptos"/>
          <w:b/>
          <w:bCs/>
          <w:u w:val="single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723"/>
        <w:gridCol w:w="2523"/>
        <w:gridCol w:w="6289"/>
      </w:tblGrid>
      <w:tr w:rsidR="0043503B" w:rsidRPr="0043503B" w14:paraId="5FA1B2DB" w14:textId="77777777" w:rsidTr="1E091205">
        <w:tc>
          <w:tcPr>
            <w:tcW w:w="9535" w:type="dxa"/>
            <w:gridSpan w:val="3"/>
          </w:tcPr>
          <w:p w14:paraId="41FC7F7F" w14:textId="0EB3F88A" w:rsidR="00855A6F" w:rsidRPr="0043503B" w:rsidRDefault="005023B0" w:rsidP="0043503B">
            <w:pPr>
              <w:jc w:val="both"/>
              <w:rPr>
                <w:rFonts w:ascii="Aptos" w:hAnsi="Aptos"/>
                <w:b/>
                <w:bCs/>
              </w:rPr>
            </w:pPr>
            <w:r w:rsidRPr="0043503B">
              <w:rPr>
                <w:rFonts w:ascii="Aptos" w:hAnsi="Aptos"/>
                <w:b/>
                <w:bCs/>
              </w:rPr>
              <w:t>Contribution for updating National Frequency Allocation Table-20</w:t>
            </w:r>
            <w:r w:rsidR="00AD2CB7" w:rsidRPr="0043503B">
              <w:rPr>
                <w:rFonts w:ascii="Aptos" w:hAnsi="Aptos"/>
                <w:b/>
                <w:bCs/>
              </w:rPr>
              <w:t>22</w:t>
            </w:r>
          </w:p>
          <w:p w14:paraId="75F8AA14" w14:textId="77777777" w:rsidR="005023B0" w:rsidRPr="0043503B" w:rsidRDefault="005023B0" w:rsidP="0043503B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43503B" w:rsidRPr="0043503B" w14:paraId="66B67CB6" w14:textId="77777777" w:rsidTr="1E091205">
        <w:tc>
          <w:tcPr>
            <w:tcW w:w="723" w:type="dxa"/>
          </w:tcPr>
          <w:p w14:paraId="5957637C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</w:t>
            </w:r>
          </w:p>
        </w:tc>
        <w:tc>
          <w:tcPr>
            <w:tcW w:w="2523" w:type="dxa"/>
          </w:tcPr>
          <w:p w14:paraId="0890636B" w14:textId="1F6BC8C2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Name of Individual</w:t>
            </w:r>
            <w:r w:rsidR="00181961">
              <w:rPr>
                <w:rFonts w:ascii="Aptos" w:hAnsi="Aptos"/>
              </w:rPr>
              <w:t xml:space="preserve"> </w:t>
            </w:r>
            <w:r w:rsidRPr="0043503B">
              <w:rPr>
                <w:rFonts w:ascii="Aptos" w:hAnsi="Aptos"/>
              </w:rPr>
              <w:t>/Organization etc</w:t>
            </w:r>
            <w:r w:rsidR="50F56821" w:rsidRPr="0043503B">
              <w:rPr>
                <w:rFonts w:ascii="Aptos" w:hAnsi="Aptos"/>
              </w:rPr>
              <w:t>.</w:t>
            </w:r>
          </w:p>
        </w:tc>
        <w:tc>
          <w:tcPr>
            <w:tcW w:w="6289" w:type="dxa"/>
          </w:tcPr>
          <w:p w14:paraId="2642AB68" w14:textId="641007E1" w:rsidR="0037124B" w:rsidRPr="00571C2E" w:rsidRDefault="00571C2E" w:rsidP="0043503B">
            <w:pPr>
              <w:jc w:val="both"/>
              <w:rPr>
                <w:rFonts w:ascii="Aptos" w:hAnsi="Aptos"/>
              </w:rPr>
            </w:pPr>
            <w:r w:rsidRPr="00571C2E">
              <w:rPr>
                <w:rFonts w:ascii="Aptos" w:hAnsi="Aptos" w:cstheme="minorHAnsi"/>
                <w:color w:val="000000" w:themeColor="text1"/>
                <w:lang w:val="en-AU"/>
              </w:rPr>
              <w:t>Viasat India Private Limited</w:t>
            </w:r>
          </w:p>
        </w:tc>
      </w:tr>
      <w:tr w:rsidR="0043503B" w:rsidRPr="0043503B" w14:paraId="49F7BD52" w14:textId="77777777" w:rsidTr="00E10FE3">
        <w:tc>
          <w:tcPr>
            <w:tcW w:w="723" w:type="dxa"/>
          </w:tcPr>
          <w:p w14:paraId="01DB3A59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2</w:t>
            </w:r>
          </w:p>
        </w:tc>
        <w:tc>
          <w:tcPr>
            <w:tcW w:w="2523" w:type="dxa"/>
          </w:tcPr>
          <w:p w14:paraId="525A0ED8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Address</w:t>
            </w:r>
          </w:p>
        </w:tc>
        <w:tc>
          <w:tcPr>
            <w:tcW w:w="6289" w:type="dxa"/>
            <w:shd w:val="clear" w:color="auto" w:fill="auto"/>
          </w:tcPr>
          <w:p w14:paraId="48F34500" w14:textId="77777777" w:rsidR="00571C2E" w:rsidRPr="00571C2E" w:rsidRDefault="00571C2E" w:rsidP="00571C2E">
            <w:pPr>
              <w:rPr>
                <w:rFonts w:ascii="Aptos" w:hAnsi="Aptos"/>
                <w:lang w:val="en-AU"/>
              </w:rPr>
            </w:pPr>
            <w:r w:rsidRPr="00571C2E">
              <w:rPr>
                <w:rFonts w:ascii="Aptos" w:hAnsi="Aptos"/>
                <w:lang w:val="en-AU"/>
              </w:rPr>
              <w:t>Module 1 &amp; 2, 5</w:t>
            </w:r>
            <w:r w:rsidRPr="00571C2E">
              <w:rPr>
                <w:rFonts w:ascii="Aptos" w:hAnsi="Aptos"/>
                <w:vertAlign w:val="superscript"/>
                <w:lang w:val="en-AU"/>
              </w:rPr>
              <w:t>th</w:t>
            </w:r>
            <w:r w:rsidRPr="00571C2E">
              <w:rPr>
                <w:rFonts w:ascii="Aptos" w:hAnsi="Aptos"/>
                <w:lang w:val="en-AU"/>
              </w:rPr>
              <w:t xml:space="preserve"> Floor</w:t>
            </w:r>
          </w:p>
          <w:p w14:paraId="37AAF747" w14:textId="77777777" w:rsidR="00571C2E" w:rsidRPr="00571C2E" w:rsidRDefault="00571C2E" w:rsidP="00571C2E">
            <w:pPr>
              <w:rPr>
                <w:rFonts w:ascii="Aptos" w:hAnsi="Aptos"/>
                <w:lang w:val="en-AU"/>
              </w:rPr>
            </w:pPr>
            <w:r w:rsidRPr="00571C2E">
              <w:rPr>
                <w:rFonts w:ascii="Aptos" w:hAnsi="Aptos"/>
                <w:lang w:val="en-AU"/>
              </w:rPr>
              <w:t xml:space="preserve">Block C, Global </w:t>
            </w:r>
            <w:proofErr w:type="spellStart"/>
            <w:r w:rsidRPr="00571C2E">
              <w:rPr>
                <w:rFonts w:ascii="Aptos" w:hAnsi="Aptos"/>
                <w:lang w:val="en-AU"/>
              </w:rPr>
              <w:t>Infocity</w:t>
            </w:r>
            <w:proofErr w:type="spellEnd"/>
            <w:r w:rsidRPr="00571C2E">
              <w:rPr>
                <w:rFonts w:ascii="Aptos" w:hAnsi="Aptos"/>
                <w:lang w:val="en-AU"/>
              </w:rPr>
              <w:t xml:space="preserve"> Park</w:t>
            </w:r>
          </w:p>
          <w:p w14:paraId="34DD364F" w14:textId="77777777" w:rsidR="00571C2E" w:rsidRPr="00571C2E" w:rsidRDefault="00571C2E" w:rsidP="00571C2E">
            <w:pPr>
              <w:rPr>
                <w:rFonts w:ascii="Aptos" w:hAnsi="Aptos"/>
                <w:lang w:val="en-AU"/>
              </w:rPr>
            </w:pPr>
            <w:r w:rsidRPr="00571C2E">
              <w:rPr>
                <w:rFonts w:ascii="Aptos" w:hAnsi="Aptos"/>
                <w:lang w:val="en-AU"/>
              </w:rPr>
              <w:t xml:space="preserve">No. 40. MGR Salai, </w:t>
            </w:r>
            <w:proofErr w:type="spellStart"/>
            <w:r w:rsidRPr="00571C2E">
              <w:rPr>
                <w:rFonts w:ascii="Aptos" w:hAnsi="Aptos"/>
                <w:lang w:val="en-AU"/>
              </w:rPr>
              <w:t>Kandanchavadi</w:t>
            </w:r>
            <w:proofErr w:type="spellEnd"/>
          </w:p>
          <w:p w14:paraId="63F85C3F" w14:textId="08DBEDA1" w:rsidR="005023B0" w:rsidRPr="00571C2E" w:rsidRDefault="00571C2E" w:rsidP="00E10FE3">
            <w:pPr>
              <w:rPr>
                <w:rFonts w:ascii="Aptos" w:hAnsi="Aptos"/>
                <w:lang w:val="en-AU"/>
              </w:rPr>
            </w:pPr>
            <w:proofErr w:type="spellStart"/>
            <w:r w:rsidRPr="00571C2E">
              <w:rPr>
                <w:rFonts w:ascii="Aptos" w:hAnsi="Aptos"/>
                <w:lang w:val="en-AU"/>
              </w:rPr>
              <w:t>Perungudi</w:t>
            </w:r>
            <w:proofErr w:type="spellEnd"/>
            <w:r w:rsidRPr="00571C2E">
              <w:rPr>
                <w:rFonts w:ascii="Aptos" w:hAnsi="Aptos"/>
                <w:lang w:val="en-AU"/>
              </w:rPr>
              <w:t>, Chennai, India 600 096</w:t>
            </w:r>
          </w:p>
        </w:tc>
      </w:tr>
      <w:tr w:rsidR="00E10FE3" w:rsidRPr="00E10FE3" w14:paraId="199F5B06" w14:textId="77777777" w:rsidTr="1E091205">
        <w:tc>
          <w:tcPr>
            <w:tcW w:w="723" w:type="dxa"/>
          </w:tcPr>
          <w:p w14:paraId="4026C3DD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3</w:t>
            </w:r>
          </w:p>
        </w:tc>
        <w:tc>
          <w:tcPr>
            <w:tcW w:w="2523" w:type="dxa"/>
          </w:tcPr>
          <w:p w14:paraId="2A34BD4B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Mail ID</w:t>
            </w:r>
          </w:p>
        </w:tc>
        <w:tc>
          <w:tcPr>
            <w:tcW w:w="6289" w:type="dxa"/>
          </w:tcPr>
          <w:p w14:paraId="444EAF14" w14:textId="5106AEB9" w:rsidR="005023B0" w:rsidRPr="0043503B" w:rsidRDefault="005F160D" w:rsidP="0043503B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c_mehul.bhandari</w:t>
            </w:r>
            <w:r w:rsidR="00571C2E">
              <w:rPr>
                <w:rFonts w:ascii="Aptos" w:hAnsi="Aptos"/>
              </w:rPr>
              <w:t>@viasat.com</w:t>
            </w:r>
          </w:p>
        </w:tc>
      </w:tr>
      <w:tr w:rsidR="0043503B" w:rsidRPr="0043503B" w14:paraId="619A9D9C" w14:textId="77777777" w:rsidTr="1E091205">
        <w:tc>
          <w:tcPr>
            <w:tcW w:w="723" w:type="dxa"/>
            <w:tcBorders>
              <w:bottom w:val="single" w:sz="4" w:space="0" w:color="auto"/>
            </w:tcBorders>
          </w:tcPr>
          <w:p w14:paraId="1173B6F8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4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F3F0E01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Phone/Mobile no.</w:t>
            </w:r>
          </w:p>
        </w:tc>
        <w:tc>
          <w:tcPr>
            <w:tcW w:w="6289" w:type="dxa"/>
            <w:tcBorders>
              <w:bottom w:val="single" w:sz="4" w:space="0" w:color="auto"/>
            </w:tcBorders>
          </w:tcPr>
          <w:p w14:paraId="510901E5" w14:textId="6DA694FD" w:rsidR="005023B0" w:rsidRPr="0043503B" w:rsidRDefault="00571C2E" w:rsidP="0043503B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+</w:t>
            </w:r>
            <w:r w:rsidR="005F160D">
              <w:rPr>
                <w:rFonts w:ascii="Aptos" w:hAnsi="Aptos"/>
              </w:rPr>
              <w:t>9</w:t>
            </w:r>
            <w:r>
              <w:rPr>
                <w:rFonts w:ascii="Aptos" w:hAnsi="Aptos"/>
              </w:rPr>
              <w:t xml:space="preserve">1 </w:t>
            </w:r>
            <w:r w:rsidR="005F160D">
              <w:rPr>
                <w:rFonts w:ascii="Aptos" w:hAnsi="Aptos"/>
              </w:rPr>
              <w:t>9717 030</w:t>
            </w:r>
            <w:r w:rsidR="000E7883">
              <w:rPr>
                <w:rFonts w:ascii="Aptos" w:hAnsi="Aptos"/>
              </w:rPr>
              <w:t xml:space="preserve"> 583</w:t>
            </w:r>
          </w:p>
        </w:tc>
      </w:tr>
      <w:tr w:rsidR="0043503B" w:rsidRPr="0043503B" w14:paraId="25CD0978" w14:textId="77777777" w:rsidTr="1E091205">
        <w:tc>
          <w:tcPr>
            <w:tcW w:w="723" w:type="dxa"/>
            <w:tcBorders>
              <w:bottom w:val="single" w:sz="4" w:space="0" w:color="auto"/>
            </w:tcBorders>
          </w:tcPr>
          <w:p w14:paraId="039D4756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5</w:t>
            </w:r>
            <w:r w:rsidR="00142A41" w:rsidRPr="0043503B">
              <w:rPr>
                <w:rFonts w:ascii="Aptos" w:hAnsi="Aptos"/>
              </w:rPr>
              <w:t>(a)</w:t>
            </w:r>
            <w:r w:rsidRPr="0043503B">
              <w:rPr>
                <w:rFonts w:ascii="Aptos" w:hAnsi="Aptos"/>
              </w:rPr>
              <w:t>*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C663AB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Nature of business</w:t>
            </w:r>
          </w:p>
          <w:p w14:paraId="2CEA5E28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</w:p>
        </w:tc>
        <w:tc>
          <w:tcPr>
            <w:tcW w:w="6289" w:type="dxa"/>
            <w:tcBorders>
              <w:bottom w:val="single" w:sz="4" w:space="0" w:color="auto"/>
            </w:tcBorders>
          </w:tcPr>
          <w:p w14:paraId="362ADF80" w14:textId="7D1E2951" w:rsidR="005023B0" w:rsidRPr="0043503B" w:rsidRDefault="00E06941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Telecommunication</w:t>
            </w:r>
            <w:r w:rsidR="00571C2E">
              <w:rPr>
                <w:rFonts w:ascii="Aptos" w:hAnsi="Aptos"/>
              </w:rPr>
              <w:t>s</w:t>
            </w:r>
            <w:r w:rsidRPr="0043503B">
              <w:rPr>
                <w:rFonts w:ascii="Aptos" w:hAnsi="Aptos"/>
              </w:rPr>
              <w:t xml:space="preserve"> </w:t>
            </w:r>
            <w:r w:rsidR="00484573" w:rsidRPr="0043503B">
              <w:rPr>
                <w:rFonts w:ascii="Aptos" w:hAnsi="Aptos"/>
              </w:rPr>
              <w:t xml:space="preserve"> </w:t>
            </w:r>
          </w:p>
        </w:tc>
      </w:tr>
      <w:tr w:rsidR="0043503B" w:rsidRPr="0043503B" w14:paraId="2AA8CFE3" w14:textId="77777777" w:rsidTr="1E091205">
        <w:tc>
          <w:tcPr>
            <w:tcW w:w="723" w:type="dxa"/>
            <w:tcBorders>
              <w:bottom w:val="single" w:sz="4" w:space="0" w:color="auto"/>
            </w:tcBorders>
          </w:tcPr>
          <w:p w14:paraId="45F0FD83" w14:textId="77777777" w:rsidR="00CF1E4A" w:rsidRPr="0043503B" w:rsidRDefault="00142A41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5 (b)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93A57EA" w14:textId="168D1D6D" w:rsidR="00CF1E4A" w:rsidRPr="0043503B" w:rsidRDefault="00142A41" w:rsidP="00181961">
            <w:pPr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 xml:space="preserve">Type of </w:t>
            </w:r>
            <w:r w:rsidR="00974BD0" w:rsidRPr="0043503B">
              <w:rPr>
                <w:rFonts w:ascii="Aptos" w:hAnsi="Aptos"/>
              </w:rPr>
              <w:t>Organization</w:t>
            </w:r>
            <w:r w:rsidRPr="0043503B">
              <w:rPr>
                <w:rFonts w:ascii="Aptos" w:hAnsi="Aptos"/>
              </w:rPr>
              <w:t xml:space="preserve"> </w:t>
            </w:r>
          </w:p>
          <w:p w14:paraId="5E4B973B" w14:textId="77777777" w:rsidR="00142A41" w:rsidRPr="0043503B" w:rsidRDefault="00142A41" w:rsidP="00181961">
            <w:pPr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(Pvt industry, Association, academia, PSU, government departments etc.)</w:t>
            </w:r>
          </w:p>
        </w:tc>
        <w:tc>
          <w:tcPr>
            <w:tcW w:w="6289" w:type="dxa"/>
            <w:tcBorders>
              <w:bottom w:val="single" w:sz="4" w:space="0" w:color="auto"/>
            </w:tcBorders>
          </w:tcPr>
          <w:p w14:paraId="14F58981" w14:textId="7E543B75" w:rsidR="00CF1E4A" w:rsidRPr="0043503B" w:rsidRDefault="00571C2E" w:rsidP="0043503B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</w:t>
            </w:r>
            <w:r w:rsidR="00BD4D31">
              <w:rPr>
                <w:rFonts w:ascii="Aptos" w:hAnsi="Aptos"/>
              </w:rPr>
              <w:t>ri</w:t>
            </w:r>
            <w:r>
              <w:rPr>
                <w:rFonts w:ascii="Aptos" w:hAnsi="Aptos"/>
              </w:rPr>
              <w:t>v</w:t>
            </w:r>
            <w:r w:rsidR="00BD4D31">
              <w:rPr>
                <w:rFonts w:ascii="Aptos" w:hAnsi="Aptos"/>
              </w:rPr>
              <w:t>a</w:t>
            </w:r>
            <w:r>
              <w:rPr>
                <w:rFonts w:ascii="Aptos" w:hAnsi="Aptos"/>
              </w:rPr>
              <w:t>t</w:t>
            </w:r>
            <w:r w:rsidR="00BD4D31">
              <w:rPr>
                <w:rFonts w:ascii="Aptos" w:hAnsi="Aptos"/>
              </w:rPr>
              <w:t>e</w:t>
            </w:r>
            <w:r>
              <w:rPr>
                <w:rFonts w:ascii="Aptos" w:hAnsi="Aptos"/>
              </w:rPr>
              <w:t xml:space="preserve"> Industry</w:t>
            </w:r>
          </w:p>
        </w:tc>
      </w:tr>
    </w:tbl>
    <w:p w14:paraId="68C71FE5" w14:textId="014CE938" w:rsidR="00695DBD" w:rsidRDefault="00695DBD"/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724"/>
        <w:gridCol w:w="2524"/>
        <w:gridCol w:w="6292"/>
      </w:tblGrid>
      <w:tr w:rsidR="0043503B" w:rsidRPr="0043503B" w14:paraId="3E7E8E46" w14:textId="77777777" w:rsidTr="00695DBD"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C0FE2" w14:textId="792A59E2" w:rsidR="005023B0" w:rsidRPr="0043503B" w:rsidRDefault="005023B0" w:rsidP="0043503B">
            <w:pPr>
              <w:tabs>
                <w:tab w:val="left" w:pos="561"/>
              </w:tabs>
              <w:jc w:val="both"/>
              <w:rPr>
                <w:rFonts w:ascii="Aptos" w:hAnsi="Apto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FB77F" w14:textId="77777777" w:rsidR="005023B0" w:rsidRDefault="005023B0" w:rsidP="0043503B">
            <w:pPr>
              <w:jc w:val="both"/>
              <w:rPr>
                <w:rFonts w:ascii="Aptos" w:hAnsi="Aptos"/>
              </w:rPr>
            </w:pPr>
          </w:p>
          <w:p w14:paraId="003A1178" w14:textId="78584475" w:rsidR="00EA3B4A" w:rsidRPr="00EA3B4A" w:rsidRDefault="00EA3B4A" w:rsidP="0043503B">
            <w:pPr>
              <w:jc w:val="both"/>
              <w:rPr>
                <w:rFonts w:ascii="Aptos" w:hAnsi="Aptos"/>
                <w:b/>
                <w:bCs/>
              </w:rPr>
            </w:pPr>
            <w:r w:rsidRPr="00EA3B4A">
              <w:rPr>
                <w:rFonts w:ascii="Aptos" w:hAnsi="Aptos"/>
                <w:b/>
                <w:bCs/>
              </w:rPr>
              <w:t xml:space="preserve">Proposal 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CDD31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</w:p>
        </w:tc>
      </w:tr>
      <w:tr w:rsidR="0043503B" w:rsidRPr="0043503B" w14:paraId="5146FC32" w14:textId="77777777" w:rsidTr="00695DBD">
        <w:tc>
          <w:tcPr>
            <w:tcW w:w="724" w:type="dxa"/>
            <w:tcBorders>
              <w:top w:val="single" w:sz="4" w:space="0" w:color="auto"/>
            </w:tcBorders>
          </w:tcPr>
          <w:p w14:paraId="1824E3C1" w14:textId="77777777" w:rsidR="005023B0" w:rsidRPr="0043503B" w:rsidRDefault="005023B0" w:rsidP="0043503B">
            <w:pPr>
              <w:tabs>
                <w:tab w:val="left" w:pos="561"/>
              </w:tabs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6</w:t>
            </w:r>
            <w:r w:rsidRPr="0043503B">
              <w:rPr>
                <w:rFonts w:ascii="Aptos" w:hAnsi="Aptos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14:paraId="5A423229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Frequency band (kHz/MHz)</w:t>
            </w:r>
          </w:p>
        </w:tc>
        <w:tc>
          <w:tcPr>
            <w:tcW w:w="6292" w:type="dxa"/>
            <w:tcBorders>
              <w:top w:val="single" w:sz="4" w:space="0" w:color="auto"/>
            </w:tcBorders>
          </w:tcPr>
          <w:p w14:paraId="388B40F0" w14:textId="083B5461" w:rsidR="005023B0" w:rsidRPr="00B81A46" w:rsidRDefault="00B81A46" w:rsidP="0043503B">
            <w:pPr>
              <w:jc w:val="both"/>
              <w:rPr>
                <w:rFonts w:ascii="Aptos" w:hAnsi="Aptos"/>
              </w:rPr>
            </w:pPr>
            <w:r w:rsidRPr="00B81A46">
              <w:rPr>
                <w:rFonts w:ascii="Aptos" w:hAnsi="Aptos"/>
                <w:lang w:val="en-GB"/>
              </w:rPr>
              <w:t>1427-1518 MHz</w:t>
            </w:r>
          </w:p>
        </w:tc>
      </w:tr>
      <w:tr w:rsidR="0043503B" w:rsidRPr="0043503B" w14:paraId="075D3480" w14:textId="77777777" w:rsidTr="00695DBD">
        <w:tc>
          <w:tcPr>
            <w:tcW w:w="724" w:type="dxa"/>
          </w:tcPr>
          <w:p w14:paraId="2B45EF2B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7*</w:t>
            </w:r>
          </w:p>
        </w:tc>
        <w:tc>
          <w:tcPr>
            <w:tcW w:w="2524" w:type="dxa"/>
          </w:tcPr>
          <w:p w14:paraId="34F518C4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Applications of service</w:t>
            </w:r>
          </w:p>
          <w:p w14:paraId="39C3F05E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</w:p>
        </w:tc>
        <w:tc>
          <w:tcPr>
            <w:tcW w:w="6292" w:type="dxa"/>
          </w:tcPr>
          <w:p w14:paraId="2CE925D5" w14:textId="0BE1D0CA" w:rsidR="005023B0" w:rsidRPr="0043503B" w:rsidRDefault="00B81A46" w:rsidP="0043503B">
            <w:pPr>
              <w:jc w:val="both"/>
              <w:rPr>
                <w:rFonts w:ascii="Aptos" w:hAnsi="Aptos"/>
              </w:rPr>
            </w:pPr>
            <w:r w:rsidRPr="000C2F86">
              <w:rPr>
                <w:rFonts w:ascii="Aptos" w:hAnsi="Aptos"/>
                <w:sz w:val="22"/>
                <w:szCs w:val="22"/>
                <w:lang w:eastAsia="en-GB"/>
              </w:rPr>
              <w:t>mobile-satellite service</w:t>
            </w:r>
            <w:r>
              <w:rPr>
                <w:rFonts w:ascii="Aptos" w:hAnsi="Aptos"/>
                <w:sz w:val="22"/>
                <w:szCs w:val="22"/>
                <w:lang w:eastAsia="en-GB"/>
              </w:rPr>
              <w:t>, including GMDSS</w:t>
            </w:r>
          </w:p>
        </w:tc>
      </w:tr>
      <w:tr w:rsidR="0043503B" w:rsidRPr="0043503B" w14:paraId="2ECAC0EE" w14:textId="77777777" w:rsidTr="00695DBD">
        <w:tc>
          <w:tcPr>
            <w:tcW w:w="724" w:type="dxa"/>
          </w:tcPr>
          <w:p w14:paraId="1DB3B6FE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8</w:t>
            </w:r>
          </w:p>
        </w:tc>
        <w:tc>
          <w:tcPr>
            <w:tcW w:w="2524" w:type="dxa"/>
          </w:tcPr>
          <w:p w14:paraId="127FF35C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Minimum &amp; Maximum power with unit</w:t>
            </w:r>
          </w:p>
        </w:tc>
        <w:tc>
          <w:tcPr>
            <w:tcW w:w="6292" w:type="dxa"/>
          </w:tcPr>
          <w:p w14:paraId="51A7D608" w14:textId="39F423D1" w:rsidR="005023B0" w:rsidRPr="0043503B" w:rsidRDefault="1F073E8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As per ITU-R RR</w:t>
            </w:r>
            <w:r w:rsidR="00A37BBB" w:rsidRPr="0043503B">
              <w:rPr>
                <w:rFonts w:ascii="Aptos" w:hAnsi="Aptos"/>
              </w:rPr>
              <w:t xml:space="preserve"> </w:t>
            </w:r>
            <w:r w:rsidR="00BA62EE" w:rsidRPr="0043503B">
              <w:rPr>
                <w:rFonts w:ascii="Aptos" w:hAnsi="Aptos"/>
              </w:rPr>
              <w:t xml:space="preserve">provisions. </w:t>
            </w:r>
          </w:p>
        </w:tc>
      </w:tr>
      <w:tr w:rsidR="0043503B" w:rsidRPr="0043503B" w14:paraId="2688784B" w14:textId="77777777" w:rsidTr="00695DBD">
        <w:trPr>
          <w:trHeight w:val="790"/>
        </w:trPr>
        <w:tc>
          <w:tcPr>
            <w:tcW w:w="724" w:type="dxa"/>
          </w:tcPr>
          <w:p w14:paraId="33584400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9</w:t>
            </w:r>
          </w:p>
        </w:tc>
        <w:tc>
          <w:tcPr>
            <w:tcW w:w="2524" w:type="dxa"/>
          </w:tcPr>
          <w:p w14:paraId="5C359029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Purpose</w:t>
            </w:r>
          </w:p>
        </w:tc>
        <w:tc>
          <w:tcPr>
            <w:tcW w:w="6292" w:type="dxa"/>
          </w:tcPr>
          <w:p w14:paraId="0DE85EC6" w14:textId="165EF531" w:rsidR="005023B0" w:rsidRPr="0043503B" w:rsidRDefault="00181961" w:rsidP="0043503B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To ensure </w:t>
            </w:r>
            <w:r w:rsidR="00B81A46">
              <w:rPr>
                <w:rFonts w:ascii="Aptos" w:hAnsi="Aptos"/>
              </w:rPr>
              <w:t xml:space="preserve">the </w:t>
            </w:r>
            <w:r w:rsidR="00B81A46" w:rsidRPr="000C2F86">
              <w:rPr>
                <w:rFonts w:ascii="Aptos" w:hAnsi="Aptos"/>
                <w:sz w:val="22"/>
                <w:szCs w:val="22"/>
                <w:lang w:eastAsia="en-GB"/>
              </w:rPr>
              <w:t>Global Maritime Distress and Safety System (GMDSS)</w:t>
            </w:r>
            <w:r w:rsidR="00B81A46">
              <w:rPr>
                <w:rFonts w:ascii="Aptos" w:hAnsi="Aptos"/>
                <w:sz w:val="22"/>
                <w:szCs w:val="22"/>
                <w:lang w:eastAsia="en-GB"/>
              </w:rPr>
              <w:t xml:space="preserve"> used in India is protected from unacceptable interference</w:t>
            </w:r>
          </w:p>
        </w:tc>
      </w:tr>
      <w:tr w:rsidR="0043503B" w:rsidRPr="0043503B" w14:paraId="1C82D708" w14:textId="77777777" w:rsidTr="00695DBD">
        <w:tc>
          <w:tcPr>
            <w:tcW w:w="724" w:type="dxa"/>
          </w:tcPr>
          <w:p w14:paraId="5C7BAF15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10 (a)</w:t>
            </w:r>
          </w:p>
        </w:tc>
        <w:tc>
          <w:tcPr>
            <w:tcW w:w="2524" w:type="dxa"/>
          </w:tcPr>
          <w:p w14:paraId="0FF8B0AB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Countries in which similar applications are used along with web link (if known)</w:t>
            </w:r>
          </w:p>
        </w:tc>
        <w:tc>
          <w:tcPr>
            <w:tcW w:w="6292" w:type="dxa"/>
          </w:tcPr>
          <w:p w14:paraId="529E4325" w14:textId="18AD7B58" w:rsidR="00F8180E" w:rsidRPr="00181961" w:rsidRDefault="00181961" w:rsidP="001819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Global use</w:t>
            </w:r>
          </w:p>
        </w:tc>
      </w:tr>
      <w:tr w:rsidR="0043503B" w:rsidRPr="0043503B" w14:paraId="2C1D5436" w14:textId="77777777" w:rsidTr="00695DBD">
        <w:tc>
          <w:tcPr>
            <w:tcW w:w="724" w:type="dxa"/>
          </w:tcPr>
          <w:p w14:paraId="628019A8" w14:textId="77777777" w:rsidR="005023B0" w:rsidRPr="0043503B" w:rsidRDefault="005023B0" w:rsidP="0043503B">
            <w:pPr>
              <w:tabs>
                <w:tab w:val="left" w:pos="468"/>
              </w:tabs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10 (b)</w:t>
            </w:r>
          </w:p>
        </w:tc>
        <w:tc>
          <w:tcPr>
            <w:tcW w:w="2524" w:type="dxa"/>
          </w:tcPr>
          <w:p w14:paraId="6765345F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Provisions in frequency allocation table along with footnote of the country along with web link (if known)</w:t>
            </w:r>
          </w:p>
        </w:tc>
        <w:tc>
          <w:tcPr>
            <w:tcW w:w="6292" w:type="dxa"/>
          </w:tcPr>
          <w:p w14:paraId="30970165" w14:textId="5D276849" w:rsidR="003823A9" w:rsidRPr="0043503B" w:rsidRDefault="00181961" w:rsidP="0043503B">
            <w:pPr>
              <w:pStyle w:val="ListParagraph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ptos" w:eastAsiaTheme="minorEastAsia" w:hAnsi="Aptos"/>
                <w:lang w:val="en-GB"/>
              </w:rPr>
            </w:pPr>
            <w:r>
              <w:rPr>
                <w:rFonts w:ascii="Aptos" w:eastAsiaTheme="minorEastAsia" w:hAnsi="Aptos"/>
                <w:lang w:val="en-GB"/>
              </w:rPr>
              <w:t>----</w:t>
            </w:r>
          </w:p>
        </w:tc>
      </w:tr>
      <w:tr w:rsidR="0043503B" w:rsidRPr="0043503B" w14:paraId="51BA2346" w14:textId="77777777" w:rsidTr="00695DBD">
        <w:tc>
          <w:tcPr>
            <w:tcW w:w="724" w:type="dxa"/>
          </w:tcPr>
          <w:p w14:paraId="7C347142" w14:textId="77777777" w:rsidR="005023B0" w:rsidRPr="0043503B" w:rsidRDefault="005023B0" w:rsidP="0043503B">
            <w:pPr>
              <w:tabs>
                <w:tab w:val="left" w:pos="468"/>
              </w:tabs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11</w:t>
            </w:r>
          </w:p>
        </w:tc>
        <w:tc>
          <w:tcPr>
            <w:tcW w:w="2524" w:type="dxa"/>
          </w:tcPr>
          <w:p w14:paraId="02E9E26C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Radio Regulations provisions (if known)</w:t>
            </w:r>
          </w:p>
        </w:tc>
        <w:tc>
          <w:tcPr>
            <w:tcW w:w="6292" w:type="dxa"/>
          </w:tcPr>
          <w:p w14:paraId="619FFD02" w14:textId="6425924C" w:rsidR="004B1BAD" w:rsidRPr="00181961" w:rsidRDefault="004B1BAD" w:rsidP="001819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ptos" w:hAnsi="Aptos"/>
              </w:rPr>
            </w:pPr>
          </w:p>
        </w:tc>
      </w:tr>
      <w:tr w:rsidR="0043503B" w:rsidRPr="0043503B" w14:paraId="4BE2AB3E" w14:textId="77777777" w:rsidTr="00695DBD">
        <w:tc>
          <w:tcPr>
            <w:tcW w:w="724" w:type="dxa"/>
          </w:tcPr>
          <w:p w14:paraId="6CE81456" w14:textId="77777777" w:rsidR="009C76AD" w:rsidRPr="0043503B" w:rsidRDefault="009C76AD" w:rsidP="0043503B">
            <w:pPr>
              <w:tabs>
                <w:tab w:val="left" w:pos="468"/>
              </w:tabs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lastRenderedPageBreak/>
              <w:t>12*</w:t>
            </w:r>
          </w:p>
        </w:tc>
        <w:tc>
          <w:tcPr>
            <w:tcW w:w="2524" w:type="dxa"/>
          </w:tcPr>
          <w:p w14:paraId="1E611444" w14:textId="77777777" w:rsidR="009C76AD" w:rsidRPr="0043503B" w:rsidRDefault="009C76AD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Type of Radiocommunication service</w:t>
            </w:r>
          </w:p>
        </w:tc>
        <w:tc>
          <w:tcPr>
            <w:tcW w:w="6292" w:type="dxa"/>
          </w:tcPr>
          <w:p w14:paraId="0D533346" w14:textId="72B991FB" w:rsidR="009C76AD" w:rsidRPr="0043503B" w:rsidRDefault="00171F74" w:rsidP="0043503B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Mobile Satellite Service (</w:t>
            </w:r>
            <w:r w:rsidR="00B81A46">
              <w:rPr>
                <w:rFonts w:ascii="Aptos" w:hAnsi="Aptos"/>
              </w:rPr>
              <w:t>MSS</w:t>
            </w:r>
            <w:r>
              <w:rPr>
                <w:rFonts w:ascii="Aptos" w:hAnsi="Aptos"/>
              </w:rPr>
              <w:t>)</w:t>
            </w:r>
          </w:p>
        </w:tc>
      </w:tr>
      <w:tr w:rsidR="0043503B" w:rsidRPr="0043503B" w14:paraId="1D3C9DBF" w14:textId="77777777" w:rsidTr="00695DBD">
        <w:trPr>
          <w:trHeight w:val="708"/>
        </w:trPr>
        <w:tc>
          <w:tcPr>
            <w:tcW w:w="724" w:type="dxa"/>
          </w:tcPr>
          <w:p w14:paraId="51D046CF" w14:textId="77777777" w:rsidR="00FC6CC0" w:rsidRPr="0043503B" w:rsidRDefault="00FC6CC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13</w:t>
            </w:r>
          </w:p>
        </w:tc>
        <w:tc>
          <w:tcPr>
            <w:tcW w:w="2524" w:type="dxa"/>
          </w:tcPr>
          <w:p w14:paraId="3E395282" w14:textId="4F67D37D" w:rsidR="00FC6CC0" w:rsidRPr="0043503B" w:rsidRDefault="00FC6CC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Com</w:t>
            </w:r>
            <w:r w:rsidR="00A86424" w:rsidRPr="0043503B">
              <w:rPr>
                <w:rFonts w:ascii="Aptos" w:hAnsi="Aptos"/>
              </w:rPr>
              <w:t>p</w:t>
            </w:r>
            <w:r w:rsidRPr="0043503B">
              <w:rPr>
                <w:rFonts w:ascii="Aptos" w:hAnsi="Aptos"/>
              </w:rPr>
              <w:t>at</w:t>
            </w:r>
            <w:r w:rsidR="00A86424" w:rsidRPr="0043503B">
              <w:rPr>
                <w:rFonts w:ascii="Aptos" w:hAnsi="Aptos"/>
              </w:rPr>
              <w:t>i</w:t>
            </w:r>
            <w:r w:rsidRPr="0043503B">
              <w:rPr>
                <w:rFonts w:ascii="Aptos" w:hAnsi="Aptos"/>
              </w:rPr>
              <w:t xml:space="preserve">ble Wireless Standard for the device likely to work in the proposed band ( ETSI, </w:t>
            </w:r>
            <w:r w:rsidR="00432F10" w:rsidRPr="0043503B">
              <w:rPr>
                <w:rFonts w:ascii="Aptos" w:hAnsi="Aptos"/>
              </w:rPr>
              <w:softHyphen/>
            </w:r>
            <w:r w:rsidR="00432F10" w:rsidRPr="0043503B">
              <w:rPr>
                <w:rFonts w:ascii="Aptos" w:hAnsi="Aptos"/>
              </w:rPr>
              <w:softHyphen/>
            </w:r>
            <w:r w:rsidR="00432F10" w:rsidRPr="0043503B">
              <w:rPr>
                <w:rFonts w:ascii="Aptos" w:hAnsi="Aptos"/>
              </w:rPr>
              <w:softHyphen/>
            </w:r>
            <w:r w:rsidR="00432F10" w:rsidRPr="0043503B">
              <w:rPr>
                <w:rFonts w:ascii="Aptos" w:hAnsi="Aptos"/>
              </w:rPr>
              <w:softHyphen/>
            </w:r>
            <w:r w:rsidRPr="0043503B">
              <w:rPr>
                <w:rFonts w:ascii="Aptos" w:hAnsi="Aptos"/>
              </w:rPr>
              <w:t xml:space="preserve">3GPP, IEEE, EC, FCC ,TEC </w:t>
            </w:r>
            <w:proofErr w:type="spellStart"/>
            <w:r w:rsidRPr="0043503B">
              <w:rPr>
                <w:rFonts w:ascii="Aptos" w:hAnsi="Aptos"/>
              </w:rPr>
              <w:t>etc</w:t>
            </w:r>
            <w:proofErr w:type="spellEnd"/>
            <w:r w:rsidRPr="0043503B">
              <w:rPr>
                <w:rFonts w:ascii="Aptos" w:hAnsi="Aptos"/>
              </w:rPr>
              <w:t xml:space="preserve"> or any proprietary standard) </w:t>
            </w:r>
          </w:p>
        </w:tc>
        <w:tc>
          <w:tcPr>
            <w:tcW w:w="6292" w:type="dxa"/>
          </w:tcPr>
          <w:p w14:paraId="381F20DD" w14:textId="656AD69C" w:rsidR="007C485C" w:rsidRPr="0043503B" w:rsidRDefault="00BA62EE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N/A</w:t>
            </w:r>
          </w:p>
        </w:tc>
      </w:tr>
      <w:tr w:rsidR="0043503B" w:rsidRPr="0043503B" w14:paraId="65207992" w14:textId="77777777" w:rsidTr="00695DBD">
        <w:trPr>
          <w:trHeight w:val="708"/>
        </w:trPr>
        <w:tc>
          <w:tcPr>
            <w:tcW w:w="724" w:type="dxa"/>
          </w:tcPr>
          <w:p w14:paraId="397C6B99" w14:textId="77777777" w:rsidR="005023B0" w:rsidRPr="0043503B" w:rsidRDefault="00FC6CC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14</w:t>
            </w:r>
          </w:p>
        </w:tc>
        <w:tc>
          <w:tcPr>
            <w:tcW w:w="2524" w:type="dxa"/>
          </w:tcPr>
          <w:p w14:paraId="7538A3CC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Benefit for public</w:t>
            </w:r>
          </w:p>
        </w:tc>
        <w:tc>
          <w:tcPr>
            <w:tcW w:w="6292" w:type="dxa"/>
          </w:tcPr>
          <w:p w14:paraId="18F0B36F" w14:textId="3BFACBD7" w:rsidR="005023B0" w:rsidRPr="0043503B" w:rsidRDefault="00181961" w:rsidP="0043503B">
            <w:pPr>
              <w:jc w:val="both"/>
              <w:rPr>
                <w:rFonts w:ascii="Aptos" w:hAnsi="Aptos"/>
              </w:rPr>
            </w:pPr>
            <w:r>
              <w:rPr>
                <w:rFonts w:ascii="Aptos" w:eastAsiaTheme="minorHAnsi" w:hAnsi="Aptos" w:cs="Calibri"/>
                <w:lang w:val="en-IN"/>
              </w:rPr>
              <w:t xml:space="preserve"> </w:t>
            </w:r>
          </w:p>
        </w:tc>
      </w:tr>
      <w:tr w:rsidR="0043503B" w:rsidRPr="0043503B" w14:paraId="5E799AC1" w14:textId="77777777" w:rsidTr="00695DBD">
        <w:tc>
          <w:tcPr>
            <w:tcW w:w="724" w:type="dxa"/>
          </w:tcPr>
          <w:p w14:paraId="29E4C47C" w14:textId="77777777" w:rsidR="005023B0" w:rsidRPr="0043503B" w:rsidRDefault="00FC6CC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15</w:t>
            </w:r>
          </w:p>
        </w:tc>
        <w:tc>
          <w:tcPr>
            <w:tcW w:w="2524" w:type="dxa"/>
          </w:tcPr>
          <w:p w14:paraId="485298D8" w14:textId="10083BF9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If modification in NFAP-20</w:t>
            </w:r>
            <w:r w:rsidR="00A316BE" w:rsidRPr="0043503B">
              <w:rPr>
                <w:rFonts w:ascii="Aptos" w:hAnsi="Aptos"/>
              </w:rPr>
              <w:t>22</w:t>
            </w:r>
            <w:r w:rsidRPr="0043503B">
              <w:rPr>
                <w:rFonts w:ascii="Aptos" w:hAnsi="Aptos"/>
              </w:rPr>
              <w:t xml:space="preserve"> </w:t>
            </w:r>
            <w:r w:rsidR="00A86424" w:rsidRPr="0043503B">
              <w:rPr>
                <w:rFonts w:ascii="Aptos" w:hAnsi="Aptos"/>
              </w:rPr>
              <w:t>footnote,</w:t>
            </w:r>
            <w:r w:rsidRPr="0043503B">
              <w:rPr>
                <w:rFonts w:ascii="Aptos" w:hAnsi="Aptos"/>
              </w:rPr>
              <w:t xml:space="preserve"> then quote relevant footnote no. of NFAP-</w:t>
            </w:r>
            <w:r w:rsidR="00A316BE" w:rsidRPr="0043503B">
              <w:rPr>
                <w:rFonts w:ascii="Aptos" w:hAnsi="Aptos"/>
              </w:rPr>
              <w:t>22</w:t>
            </w:r>
          </w:p>
        </w:tc>
        <w:tc>
          <w:tcPr>
            <w:tcW w:w="6292" w:type="dxa"/>
          </w:tcPr>
          <w:p w14:paraId="34C46CFC" w14:textId="77777777" w:rsidR="00B81A46" w:rsidRPr="00C57064" w:rsidRDefault="00B81A46" w:rsidP="00B81A46">
            <w:pPr>
              <w:rPr>
                <w:rFonts w:ascii="Aptos" w:hAnsi="Aptos"/>
                <w:lang w:eastAsia="en-GB"/>
              </w:rPr>
            </w:pPr>
            <w:r w:rsidRPr="00C57064">
              <w:rPr>
                <w:rFonts w:ascii="Aptos" w:hAnsi="Aptos"/>
                <w:b/>
                <w:bCs/>
                <w:lang w:eastAsia="en-GB"/>
              </w:rPr>
              <w:t>IND 16 </w:t>
            </w:r>
            <w:r w:rsidRPr="00C57064">
              <w:rPr>
                <w:rFonts w:ascii="Aptos" w:hAnsi="Aptos"/>
                <w:lang w:eastAsia="en-GB"/>
              </w:rPr>
              <w:t>The following frequency bands, or parts thereof, have been identified for implementation of International Mobile Telecommunications </w:t>
            </w:r>
            <w:r w:rsidRPr="00C57064">
              <w:rPr>
                <w:rFonts w:ascii="Aptos" w:hAnsi="Aptos"/>
                <w:b/>
                <w:bCs/>
                <w:lang w:eastAsia="en-GB"/>
              </w:rPr>
              <w:t>(IMT)</w:t>
            </w:r>
            <w:r w:rsidRPr="00C57064">
              <w:rPr>
                <w:rFonts w:ascii="Aptos" w:hAnsi="Aptos"/>
                <w:lang w:eastAsia="en-GB"/>
              </w:rPr>
              <w:t>:</w:t>
            </w:r>
          </w:p>
          <w:p w14:paraId="30B06611" w14:textId="77777777" w:rsidR="00C57064" w:rsidRPr="00C57064" w:rsidRDefault="00C57064" w:rsidP="00B81A46">
            <w:pPr>
              <w:rPr>
                <w:rFonts w:ascii="Aptos" w:hAnsi="Aptos"/>
                <w:lang w:eastAsia="en-GB"/>
              </w:rPr>
            </w:pPr>
          </w:p>
          <w:p w14:paraId="7A3F2FB3" w14:textId="4674C47D" w:rsidR="00EA3B4A" w:rsidRDefault="00B16B0D" w:rsidP="00B81A46">
            <w:pPr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 xml:space="preserve">Frequency bands at </w:t>
            </w:r>
            <w:r w:rsidR="00EA3B4A" w:rsidRPr="00EA3B4A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>S</w:t>
            </w:r>
            <w:r w:rsidR="006169C0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>l</w:t>
            </w:r>
            <w:r w:rsidR="00EA3B4A" w:rsidRPr="00EA3B4A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>. No</w:t>
            </w:r>
            <w:r w:rsidR="00EA3B4A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 xml:space="preserve"> 11</w:t>
            </w:r>
            <w:r w:rsidR="00C57064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 xml:space="preserve"> to </w:t>
            </w:r>
            <w:r w:rsidR="00EA3B4A" w:rsidRPr="00EA3B4A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>14</w:t>
            </w:r>
          </w:p>
          <w:p w14:paraId="68E25728" w14:textId="77777777" w:rsidR="00C57064" w:rsidRPr="00EA3B4A" w:rsidRDefault="00C57064" w:rsidP="00B81A46">
            <w:pPr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</w:pPr>
          </w:p>
          <w:p w14:paraId="7C6F7F51" w14:textId="3BBF5143" w:rsidR="009B69AB" w:rsidRPr="00C57064" w:rsidRDefault="00B81A46" w:rsidP="00C57064">
            <w:pPr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</w:pPr>
            <w:r w:rsidRPr="00C57064">
              <w:rPr>
                <w:rFonts w:ascii="Aptos" w:hAnsi="Aptos"/>
              </w:rPr>
              <w:t>Viasat respectfully requests a new note be added for th</w:t>
            </w:r>
            <w:r w:rsidR="00C57064">
              <w:rPr>
                <w:rFonts w:ascii="Aptos" w:hAnsi="Aptos"/>
              </w:rPr>
              <w:t>e</w:t>
            </w:r>
            <w:r w:rsidRPr="00C57064">
              <w:rPr>
                <w:rFonts w:ascii="Aptos" w:hAnsi="Aptos"/>
              </w:rPr>
              <w:t xml:space="preserve"> frequency range </w:t>
            </w:r>
            <w:r w:rsidR="00C57064">
              <w:rPr>
                <w:rFonts w:ascii="Aptos" w:hAnsi="Aptos"/>
              </w:rPr>
              <w:t xml:space="preserve">covered by </w:t>
            </w:r>
            <w:r w:rsidR="00C57064" w:rsidRPr="00EA3B4A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>SI. No</w:t>
            </w:r>
            <w:r w:rsidR="00C57064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 xml:space="preserve"> 11 to </w:t>
            </w:r>
            <w:r w:rsidR="00C57064" w:rsidRPr="00EA3B4A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>14</w:t>
            </w:r>
            <w:r w:rsidR="00C57064">
              <w:rPr>
                <w:rFonts w:ascii="Aptos" w:hAnsi="Aptos"/>
                <w:b/>
                <w:bCs/>
                <w:sz w:val="22"/>
                <w:szCs w:val="22"/>
                <w:lang w:eastAsia="en-GB"/>
              </w:rPr>
              <w:t xml:space="preserve"> (1427 – 1518 MHz) </w:t>
            </w:r>
            <w:r w:rsidRPr="00C57064">
              <w:rPr>
                <w:rFonts w:ascii="Aptos" w:hAnsi="Aptos"/>
              </w:rPr>
              <w:t>as follows:</w:t>
            </w:r>
          </w:p>
          <w:p w14:paraId="2EC46183" w14:textId="262AAFB0" w:rsidR="00B81A46" w:rsidRDefault="00B81A46" w:rsidP="0061548B">
            <w:pPr>
              <w:pStyle w:val="NormalWeb"/>
              <w:spacing w:after="0" w:afterAutospacing="0"/>
              <w:jc w:val="both"/>
              <w:rPr>
                <w:rFonts w:ascii="Aptos" w:hAnsi="Aptos"/>
                <w:lang w:val="en-GB"/>
              </w:rPr>
            </w:pPr>
            <w:r w:rsidRPr="00B81A46">
              <w:rPr>
                <w:rFonts w:ascii="Aptos" w:hAnsi="Aptos"/>
                <w:b/>
                <w:bCs/>
                <w:lang w:val="en-GB"/>
              </w:rPr>
              <w:t>New Note XXX: </w:t>
            </w:r>
            <w:r w:rsidRPr="00B81A46">
              <w:rPr>
                <w:rFonts w:ascii="Aptos" w:hAnsi="Aptos"/>
                <w:lang w:val="en-GB"/>
              </w:rPr>
              <w:t xml:space="preserve">The frequency band 1518-1559 MHz (space-to Earth) </w:t>
            </w:r>
            <w:r w:rsidR="00DD2ED8">
              <w:rPr>
                <w:rFonts w:ascii="Aptos" w:hAnsi="Aptos"/>
                <w:lang w:val="en-GB"/>
              </w:rPr>
              <w:t>is</w:t>
            </w:r>
            <w:r w:rsidRPr="00B81A46">
              <w:rPr>
                <w:rFonts w:ascii="Aptos" w:hAnsi="Aptos"/>
                <w:lang w:val="en-GB"/>
              </w:rPr>
              <w:t xml:space="preserve"> used in the </w:t>
            </w:r>
            <w:r w:rsidR="00DD2ED8">
              <w:rPr>
                <w:rFonts w:ascii="Aptos" w:hAnsi="Aptos"/>
                <w:lang w:val="en-GB"/>
              </w:rPr>
              <w:t>M</w:t>
            </w:r>
            <w:r w:rsidRPr="00B81A46">
              <w:rPr>
                <w:rFonts w:ascii="Aptos" w:hAnsi="Aptos"/>
                <w:lang w:val="en-GB"/>
              </w:rPr>
              <w:t>obile-</w:t>
            </w:r>
            <w:r w:rsidR="00DD2ED8">
              <w:rPr>
                <w:rFonts w:ascii="Aptos" w:hAnsi="Aptos"/>
                <w:lang w:val="en-GB"/>
              </w:rPr>
              <w:t>S</w:t>
            </w:r>
            <w:r w:rsidRPr="00B81A46">
              <w:rPr>
                <w:rFonts w:ascii="Aptos" w:hAnsi="Aptos"/>
                <w:lang w:val="en-GB"/>
              </w:rPr>
              <w:t xml:space="preserve">atellite </w:t>
            </w:r>
            <w:r w:rsidR="00DD2ED8">
              <w:rPr>
                <w:rFonts w:ascii="Aptos" w:hAnsi="Aptos"/>
                <w:lang w:val="en-GB"/>
              </w:rPr>
              <w:t>S</w:t>
            </w:r>
            <w:r w:rsidRPr="00B81A46">
              <w:rPr>
                <w:rFonts w:ascii="Aptos" w:hAnsi="Aptos"/>
                <w:lang w:val="en-GB"/>
              </w:rPr>
              <w:t xml:space="preserve">ervice </w:t>
            </w:r>
            <w:r w:rsidR="00DD2ED8">
              <w:rPr>
                <w:rFonts w:ascii="Aptos" w:hAnsi="Aptos"/>
                <w:lang w:val="en-GB"/>
              </w:rPr>
              <w:t xml:space="preserve">(MSS) </w:t>
            </w:r>
            <w:r w:rsidRPr="00B81A46">
              <w:rPr>
                <w:rFonts w:ascii="Aptos" w:hAnsi="Aptos"/>
                <w:lang w:val="en-GB"/>
              </w:rPr>
              <w:t>to provide communications for the Global Maritime Distress and Safety System (GMDSS) and need</w:t>
            </w:r>
            <w:r w:rsidR="00DD2ED8">
              <w:rPr>
                <w:rFonts w:ascii="Aptos" w:hAnsi="Aptos"/>
                <w:lang w:val="en-GB"/>
              </w:rPr>
              <w:t>s</w:t>
            </w:r>
            <w:r w:rsidRPr="00B81A46">
              <w:rPr>
                <w:rFonts w:ascii="Aptos" w:hAnsi="Aptos"/>
                <w:lang w:val="en-GB"/>
              </w:rPr>
              <w:t xml:space="preserve"> to be protected</w:t>
            </w:r>
            <w:r w:rsidR="00DD2ED8">
              <w:rPr>
                <w:rFonts w:ascii="Aptos" w:hAnsi="Aptos"/>
                <w:lang w:val="en-GB"/>
              </w:rPr>
              <w:t>,</w:t>
            </w:r>
            <w:r w:rsidRPr="00B81A46">
              <w:rPr>
                <w:rFonts w:ascii="Aptos" w:hAnsi="Aptos"/>
                <w:lang w:val="en-GB"/>
              </w:rPr>
              <w:t xml:space="preserve"> and ensured that there is no interference from any adjacent </w:t>
            </w:r>
            <w:r w:rsidRPr="009244E6">
              <w:rPr>
                <w:rFonts w:ascii="Aptos" w:hAnsi="Aptos"/>
                <w:lang w:val="en-GB"/>
              </w:rPr>
              <w:t>or in-</w:t>
            </w:r>
            <w:r w:rsidRPr="00B81A46">
              <w:rPr>
                <w:rFonts w:ascii="Aptos" w:hAnsi="Aptos"/>
                <w:lang w:val="en-GB"/>
              </w:rPr>
              <w:t xml:space="preserve">band IMT services with necessary </w:t>
            </w:r>
            <w:r w:rsidR="00734AB1" w:rsidRPr="00B81A46">
              <w:rPr>
                <w:rFonts w:ascii="Aptos" w:hAnsi="Aptos"/>
                <w:lang w:val="en-GB"/>
              </w:rPr>
              <w:t>guard</w:t>
            </w:r>
            <w:r w:rsidR="00734AB1">
              <w:rPr>
                <w:rFonts w:ascii="Aptos" w:hAnsi="Aptos"/>
                <w:lang w:val="en-GB"/>
              </w:rPr>
              <w:t>-</w:t>
            </w:r>
            <w:r w:rsidR="00734AB1" w:rsidRPr="00B81A46">
              <w:rPr>
                <w:rFonts w:ascii="Aptos" w:hAnsi="Aptos"/>
                <w:lang w:val="en-GB"/>
              </w:rPr>
              <w:t>band</w:t>
            </w:r>
            <w:r w:rsidRPr="00B81A46">
              <w:rPr>
                <w:rFonts w:ascii="Aptos" w:hAnsi="Aptos"/>
                <w:lang w:val="en-GB"/>
              </w:rPr>
              <w:t xml:space="preserve"> and protection measures in place</w:t>
            </w:r>
            <w:r w:rsidR="00734AB1">
              <w:rPr>
                <w:rFonts w:ascii="Aptos" w:hAnsi="Aptos"/>
                <w:lang w:val="en-GB"/>
              </w:rPr>
              <w:t>.</w:t>
            </w:r>
          </w:p>
          <w:p w14:paraId="23BE8178" w14:textId="136FCBE3" w:rsidR="0061548B" w:rsidRPr="0043503B" w:rsidRDefault="0061548B" w:rsidP="0061548B">
            <w:pPr>
              <w:pStyle w:val="NormalWeb"/>
              <w:jc w:val="both"/>
              <w:rPr>
                <w:rFonts w:ascii="Aptos" w:hAnsi="Aptos"/>
              </w:rPr>
            </w:pPr>
          </w:p>
        </w:tc>
      </w:tr>
      <w:tr w:rsidR="0043503B" w:rsidRPr="0043503B" w14:paraId="0409C48F" w14:textId="77777777" w:rsidTr="00695DBD">
        <w:trPr>
          <w:trHeight w:val="433"/>
        </w:trPr>
        <w:tc>
          <w:tcPr>
            <w:tcW w:w="724" w:type="dxa"/>
          </w:tcPr>
          <w:p w14:paraId="7A32C6DC" w14:textId="77777777" w:rsidR="005023B0" w:rsidRPr="0043503B" w:rsidRDefault="00FC6CC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16</w:t>
            </w:r>
          </w:p>
        </w:tc>
        <w:tc>
          <w:tcPr>
            <w:tcW w:w="2524" w:type="dxa"/>
          </w:tcPr>
          <w:p w14:paraId="0903E395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  <w:r w:rsidRPr="0043503B">
              <w:rPr>
                <w:rFonts w:ascii="Aptos" w:hAnsi="Aptos"/>
              </w:rPr>
              <w:t>Remarks</w:t>
            </w:r>
          </w:p>
          <w:p w14:paraId="753E6FC4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</w:p>
          <w:p w14:paraId="7752AB95" w14:textId="77777777" w:rsidR="005023B0" w:rsidRPr="0043503B" w:rsidRDefault="005023B0" w:rsidP="0043503B">
            <w:pPr>
              <w:jc w:val="both"/>
              <w:rPr>
                <w:rFonts w:ascii="Aptos" w:hAnsi="Aptos"/>
              </w:rPr>
            </w:pPr>
          </w:p>
        </w:tc>
        <w:tc>
          <w:tcPr>
            <w:tcW w:w="6292" w:type="dxa"/>
          </w:tcPr>
          <w:p w14:paraId="398D7D39" w14:textId="4EA2C5A8" w:rsidR="00D050E8" w:rsidRPr="0043503B" w:rsidRDefault="00B81A46" w:rsidP="00571C2E">
            <w:pPr>
              <w:autoSpaceDE w:val="0"/>
              <w:autoSpaceDN w:val="0"/>
              <w:adjustRightInd w:val="0"/>
              <w:jc w:val="both"/>
              <w:rPr>
                <w:rFonts w:ascii="Aptos" w:hAnsi="Aptos"/>
              </w:rPr>
            </w:pPr>
            <w:r w:rsidRPr="00B81A46">
              <w:rPr>
                <w:rFonts w:ascii="Aptos" w:hAnsi="Aptos"/>
              </w:rPr>
              <w:t>Global</w:t>
            </w:r>
            <w:r w:rsidR="009E61F4">
              <w:rPr>
                <w:rFonts w:ascii="Aptos" w:hAnsi="Aptos"/>
              </w:rPr>
              <w:t xml:space="preserve"> Maritime</w:t>
            </w:r>
            <w:r w:rsidRPr="00B81A46">
              <w:rPr>
                <w:rFonts w:ascii="Aptos" w:hAnsi="Aptos"/>
              </w:rPr>
              <w:t xml:space="preserve"> Safety Services - India was one of Inmarsat's founders in 1979 through the International Maritime </w:t>
            </w:r>
            <w:r w:rsidR="009E61F4" w:rsidRPr="00B81A46">
              <w:rPr>
                <w:rFonts w:ascii="Aptos" w:hAnsi="Aptos"/>
              </w:rPr>
              <w:t>Organization</w:t>
            </w:r>
            <w:r w:rsidRPr="00B81A46">
              <w:rPr>
                <w:rFonts w:ascii="Aptos" w:hAnsi="Aptos"/>
              </w:rPr>
              <w:t xml:space="preserve"> (IMO) to provide global safety services through GMDSS. Today, </w:t>
            </w:r>
            <w:r w:rsidR="009E61F4">
              <w:rPr>
                <w:rFonts w:ascii="Aptos" w:hAnsi="Aptos"/>
              </w:rPr>
              <w:t>maritime safety communications</w:t>
            </w:r>
            <w:r w:rsidRPr="00B81A46">
              <w:rPr>
                <w:rFonts w:ascii="Aptos" w:hAnsi="Aptos"/>
              </w:rPr>
              <w:t xml:space="preserve"> continue</w:t>
            </w:r>
            <w:r w:rsidR="009E61F4">
              <w:rPr>
                <w:rFonts w:ascii="Aptos" w:hAnsi="Aptos"/>
              </w:rPr>
              <w:t xml:space="preserve"> to be a critical part of maritime activities in India</w:t>
            </w:r>
            <w:r w:rsidRPr="00B81A46">
              <w:rPr>
                <w:rFonts w:ascii="Aptos" w:hAnsi="Aptos"/>
              </w:rPr>
              <w:t xml:space="preserve"> with </w:t>
            </w:r>
            <w:r w:rsidR="009E61F4">
              <w:rPr>
                <w:rFonts w:ascii="Aptos" w:hAnsi="Aptos"/>
              </w:rPr>
              <w:t>thousands</w:t>
            </w:r>
            <w:r w:rsidRPr="00B81A46">
              <w:rPr>
                <w:rFonts w:ascii="Aptos" w:hAnsi="Aptos"/>
              </w:rPr>
              <w:t xml:space="preserve"> of Indian vessels relying on this service operating </w:t>
            </w:r>
            <w:r w:rsidR="009E61F4">
              <w:rPr>
                <w:rFonts w:ascii="Aptos" w:hAnsi="Aptos"/>
              </w:rPr>
              <w:t>in</w:t>
            </w:r>
            <w:r w:rsidRPr="00B81A46">
              <w:rPr>
                <w:rFonts w:ascii="Aptos" w:hAnsi="Aptos"/>
              </w:rPr>
              <w:t xml:space="preserve"> the L-band spectrum (1518-1559 MHz downlink, 1626.5 – 1660.5 MHz uplink).</w:t>
            </w:r>
          </w:p>
        </w:tc>
      </w:tr>
    </w:tbl>
    <w:p w14:paraId="09F80BA2" w14:textId="76DA3971" w:rsidR="00B81A46" w:rsidRDefault="00986CEF" w:rsidP="0043503B">
      <w:pPr>
        <w:jc w:val="both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****</w:t>
      </w:r>
    </w:p>
    <w:p w14:paraId="20B15897" w14:textId="2F670E49" w:rsidR="00BD08B7" w:rsidRDefault="00986CEF" w:rsidP="00BD08B7">
      <w:pPr>
        <w:jc w:val="both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</w:p>
    <w:p w14:paraId="5F0C22D2" w14:textId="0CB72E0E" w:rsidR="00986CEF" w:rsidRDefault="00986CEF" w:rsidP="00BD08B7">
      <w:pPr>
        <w:ind w:left="2160" w:firstLine="720"/>
        <w:jc w:val="both"/>
        <w:rPr>
          <w:rFonts w:ascii="Aptos" w:hAnsi="Aptos"/>
        </w:rPr>
      </w:pPr>
      <w:r>
        <w:rPr>
          <w:rFonts w:ascii="Aptos" w:hAnsi="Aptos"/>
        </w:rPr>
        <w:t>Viasat</w:t>
      </w:r>
      <w:r w:rsidR="00BD08B7">
        <w:rPr>
          <w:rFonts w:ascii="Aptos" w:hAnsi="Aptos"/>
        </w:rPr>
        <w:t xml:space="preserve"> India Private Limited</w:t>
      </w:r>
    </w:p>
    <w:p w14:paraId="76D3B688" w14:textId="7B5C648F" w:rsidR="00B81A46" w:rsidRPr="0043503B" w:rsidRDefault="00986CEF" w:rsidP="00BD08B7">
      <w:pPr>
        <w:jc w:val="both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="00BD08B7">
        <w:rPr>
          <w:rFonts w:ascii="Aptos" w:hAnsi="Aptos"/>
        </w:rPr>
        <w:t xml:space="preserve">        </w:t>
      </w:r>
      <w:r>
        <w:rPr>
          <w:rFonts w:ascii="Aptos" w:hAnsi="Aptos"/>
        </w:rPr>
        <w:t>30 August 2024</w:t>
      </w:r>
    </w:p>
    <w:p w14:paraId="0639BB92" w14:textId="208D5509" w:rsidR="17DC21C8" w:rsidRPr="0043503B" w:rsidRDefault="17DC21C8" w:rsidP="0043503B">
      <w:pPr>
        <w:jc w:val="both"/>
        <w:rPr>
          <w:rFonts w:ascii="Aptos" w:hAnsi="Aptos"/>
        </w:rPr>
      </w:pPr>
    </w:p>
    <w:p w14:paraId="3A737C31" w14:textId="228ABC02" w:rsidR="17DC21C8" w:rsidRPr="00986CEF" w:rsidRDefault="00360343" w:rsidP="0043503B">
      <w:pPr>
        <w:jc w:val="both"/>
        <w:rPr>
          <w:rFonts w:ascii="Aptos" w:hAnsi="Aptos"/>
          <w:b/>
          <w:bCs/>
        </w:rPr>
      </w:pPr>
      <w:r w:rsidRPr="0043503B">
        <w:rPr>
          <w:rFonts w:ascii="Aptos" w:hAnsi="Aptos"/>
        </w:rPr>
        <w:t xml:space="preserve">                                                         </w:t>
      </w:r>
    </w:p>
    <w:p w14:paraId="20F338E8" w14:textId="77777777" w:rsidR="0043503B" w:rsidRPr="0043503B" w:rsidRDefault="0043503B">
      <w:pPr>
        <w:jc w:val="both"/>
        <w:rPr>
          <w:rFonts w:ascii="Aptos" w:hAnsi="Aptos"/>
        </w:rPr>
      </w:pPr>
    </w:p>
    <w:sectPr w:rsidR="0043503B" w:rsidRPr="0043503B" w:rsidSect="00756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F04B" w14:textId="77777777" w:rsidR="0055618C" w:rsidRDefault="0055618C" w:rsidP="00B37047">
      <w:r>
        <w:separator/>
      </w:r>
    </w:p>
  </w:endnote>
  <w:endnote w:type="continuationSeparator" w:id="0">
    <w:p w14:paraId="0F52D4E6" w14:textId="77777777" w:rsidR="0055618C" w:rsidRDefault="0055618C" w:rsidP="00B3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81B3" w14:textId="77777777" w:rsidR="0055618C" w:rsidRDefault="0055618C" w:rsidP="00B37047">
      <w:r>
        <w:separator/>
      </w:r>
    </w:p>
  </w:footnote>
  <w:footnote w:type="continuationSeparator" w:id="0">
    <w:p w14:paraId="1E5A4C35" w14:textId="77777777" w:rsidR="0055618C" w:rsidRDefault="0055618C" w:rsidP="00B3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D02"/>
    <w:multiLevelType w:val="hybridMultilevel"/>
    <w:tmpl w:val="659C7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A4EBD"/>
    <w:multiLevelType w:val="hybridMultilevel"/>
    <w:tmpl w:val="EAEE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1BFC"/>
    <w:multiLevelType w:val="hybridMultilevel"/>
    <w:tmpl w:val="6E485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5425D"/>
    <w:multiLevelType w:val="hybridMultilevel"/>
    <w:tmpl w:val="4A5C3F1E"/>
    <w:lvl w:ilvl="0" w:tplc="0EE8408A">
      <w:start w:val="64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3EC0"/>
    <w:multiLevelType w:val="hybridMultilevel"/>
    <w:tmpl w:val="48229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3AF1"/>
    <w:multiLevelType w:val="hybridMultilevel"/>
    <w:tmpl w:val="0D5022C6"/>
    <w:lvl w:ilvl="0" w:tplc="82567E3A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858DE"/>
    <w:multiLevelType w:val="hybridMultilevel"/>
    <w:tmpl w:val="EB4C8B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0CB"/>
    <w:multiLevelType w:val="hybridMultilevel"/>
    <w:tmpl w:val="00C26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5B04A"/>
    <w:multiLevelType w:val="hybridMultilevel"/>
    <w:tmpl w:val="EE70FB96"/>
    <w:lvl w:ilvl="0" w:tplc="56CC34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9E3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00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00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E2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D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F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D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09683">
    <w:abstractNumId w:val="7"/>
  </w:num>
  <w:num w:numId="2" w16cid:durableId="208154747">
    <w:abstractNumId w:val="6"/>
  </w:num>
  <w:num w:numId="3" w16cid:durableId="1948997802">
    <w:abstractNumId w:val="4"/>
  </w:num>
  <w:num w:numId="4" w16cid:durableId="326251074">
    <w:abstractNumId w:val="0"/>
  </w:num>
  <w:num w:numId="5" w16cid:durableId="871960337">
    <w:abstractNumId w:val="1"/>
  </w:num>
  <w:num w:numId="6" w16cid:durableId="2067878610">
    <w:abstractNumId w:val="2"/>
  </w:num>
  <w:num w:numId="7" w16cid:durableId="310523244">
    <w:abstractNumId w:val="3"/>
  </w:num>
  <w:num w:numId="8" w16cid:durableId="895432443">
    <w:abstractNumId w:val="8"/>
  </w:num>
  <w:num w:numId="9" w16cid:durableId="97283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29"/>
    <w:rsid w:val="000055CF"/>
    <w:rsid w:val="00020F2F"/>
    <w:rsid w:val="00030A84"/>
    <w:rsid w:val="00032970"/>
    <w:rsid w:val="0004442A"/>
    <w:rsid w:val="00053E75"/>
    <w:rsid w:val="00071CAE"/>
    <w:rsid w:val="00072702"/>
    <w:rsid w:val="00074C4D"/>
    <w:rsid w:val="00084242"/>
    <w:rsid w:val="000A4CE5"/>
    <w:rsid w:val="000C334D"/>
    <w:rsid w:val="000C64DD"/>
    <w:rsid w:val="000D6BC6"/>
    <w:rsid w:val="000E7883"/>
    <w:rsid w:val="000F5722"/>
    <w:rsid w:val="001425DD"/>
    <w:rsid w:val="00142A41"/>
    <w:rsid w:val="0015340A"/>
    <w:rsid w:val="00164A7B"/>
    <w:rsid w:val="001715F9"/>
    <w:rsid w:val="00171F74"/>
    <w:rsid w:val="00172382"/>
    <w:rsid w:val="00180AEE"/>
    <w:rsid w:val="00181961"/>
    <w:rsid w:val="001900B7"/>
    <w:rsid w:val="00190C17"/>
    <w:rsid w:val="00192F37"/>
    <w:rsid w:val="001A0F86"/>
    <w:rsid w:val="001A20FF"/>
    <w:rsid w:val="001D0935"/>
    <w:rsid w:val="001E3296"/>
    <w:rsid w:val="001F4084"/>
    <w:rsid w:val="00211125"/>
    <w:rsid w:val="00221AE6"/>
    <w:rsid w:val="00222FE2"/>
    <w:rsid w:val="002253D4"/>
    <w:rsid w:val="00232F2A"/>
    <w:rsid w:val="00236613"/>
    <w:rsid w:val="00236C85"/>
    <w:rsid w:val="00242215"/>
    <w:rsid w:val="002465CC"/>
    <w:rsid w:val="00263E36"/>
    <w:rsid w:val="00271E25"/>
    <w:rsid w:val="00274908"/>
    <w:rsid w:val="002831A9"/>
    <w:rsid w:val="0028504D"/>
    <w:rsid w:val="0028640D"/>
    <w:rsid w:val="002A4614"/>
    <w:rsid w:val="002B61DA"/>
    <w:rsid w:val="002F1BE2"/>
    <w:rsid w:val="002F4459"/>
    <w:rsid w:val="003029DB"/>
    <w:rsid w:val="003034C0"/>
    <w:rsid w:val="0030489C"/>
    <w:rsid w:val="00310CAF"/>
    <w:rsid w:val="0032571D"/>
    <w:rsid w:val="0033098A"/>
    <w:rsid w:val="00335130"/>
    <w:rsid w:val="00350AE8"/>
    <w:rsid w:val="00360343"/>
    <w:rsid w:val="00365DEF"/>
    <w:rsid w:val="00366CFC"/>
    <w:rsid w:val="0037124B"/>
    <w:rsid w:val="003823A9"/>
    <w:rsid w:val="00385280"/>
    <w:rsid w:val="00387653"/>
    <w:rsid w:val="003A0CD2"/>
    <w:rsid w:val="003A1964"/>
    <w:rsid w:val="003A4596"/>
    <w:rsid w:val="003C0CCB"/>
    <w:rsid w:val="003C5044"/>
    <w:rsid w:val="003D25BB"/>
    <w:rsid w:val="003D688F"/>
    <w:rsid w:val="003F5439"/>
    <w:rsid w:val="004042B0"/>
    <w:rsid w:val="00406043"/>
    <w:rsid w:val="00415865"/>
    <w:rsid w:val="0041611F"/>
    <w:rsid w:val="00417C8F"/>
    <w:rsid w:val="00432F10"/>
    <w:rsid w:val="0043503B"/>
    <w:rsid w:val="0043769A"/>
    <w:rsid w:val="00471445"/>
    <w:rsid w:val="00481B6E"/>
    <w:rsid w:val="004821F7"/>
    <w:rsid w:val="00484573"/>
    <w:rsid w:val="004848FC"/>
    <w:rsid w:val="00496394"/>
    <w:rsid w:val="004A21EF"/>
    <w:rsid w:val="004A23B8"/>
    <w:rsid w:val="004A3228"/>
    <w:rsid w:val="004A391A"/>
    <w:rsid w:val="004A589B"/>
    <w:rsid w:val="004B125C"/>
    <w:rsid w:val="004B1BAD"/>
    <w:rsid w:val="004D60F9"/>
    <w:rsid w:val="004D7882"/>
    <w:rsid w:val="004E0752"/>
    <w:rsid w:val="004E7002"/>
    <w:rsid w:val="004E7372"/>
    <w:rsid w:val="004F7EF3"/>
    <w:rsid w:val="005023B0"/>
    <w:rsid w:val="005059F5"/>
    <w:rsid w:val="005134AF"/>
    <w:rsid w:val="00513510"/>
    <w:rsid w:val="00534024"/>
    <w:rsid w:val="0055618C"/>
    <w:rsid w:val="00557247"/>
    <w:rsid w:val="00557424"/>
    <w:rsid w:val="00561F69"/>
    <w:rsid w:val="00562232"/>
    <w:rsid w:val="0056790B"/>
    <w:rsid w:val="00571C2E"/>
    <w:rsid w:val="005735B9"/>
    <w:rsid w:val="00594853"/>
    <w:rsid w:val="00594DE2"/>
    <w:rsid w:val="005A4DFD"/>
    <w:rsid w:val="005B684E"/>
    <w:rsid w:val="005B7A8D"/>
    <w:rsid w:val="005C5068"/>
    <w:rsid w:val="005C6FC9"/>
    <w:rsid w:val="005D4EAC"/>
    <w:rsid w:val="005E700F"/>
    <w:rsid w:val="005F160D"/>
    <w:rsid w:val="005F73C4"/>
    <w:rsid w:val="006020E3"/>
    <w:rsid w:val="00604D41"/>
    <w:rsid w:val="00605B24"/>
    <w:rsid w:val="0061548B"/>
    <w:rsid w:val="006169C0"/>
    <w:rsid w:val="00621902"/>
    <w:rsid w:val="006234C9"/>
    <w:rsid w:val="006404CA"/>
    <w:rsid w:val="006433B6"/>
    <w:rsid w:val="0065288C"/>
    <w:rsid w:val="00660C80"/>
    <w:rsid w:val="00666E23"/>
    <w:rsid w:val="006743AF"/>
    <w:rsid w:val="00676DA6"/>
    <w:rsid w:val="00691C66"/>
    <w:rsid w:val="006931B0"/>
    <w:rsid w:val="00695DBD"/>
    <w:rsid w:val="006A2EB8"/>
    <w:rsid w:val="006B38A4"/>
    <w:rsid w:val="006B5A29"/>
    <w:rsid w:val="006B7F4F"/>
    <w:rsid w:val="006C19BA"/>
    <w:rsid w:val="006E2ABD"/>
    <w:rsid w:val="006E5B08"/>
    <w:rsid w:val="006F58F2"/>
    <w:rsid w:val="006F5CB9"/>
    <w:rsid w:val="007059F8"/>
    <w:rsid w:val="007135CB"/>
    <w:rsid w:val="00714AAB"/>
    <w:rsid w:val="00734AB1"/>
    <w:rsid w:val="00742757"/>
    <w:rsid w:val="00746409"/>
    <w:rsid w:val="00747395"/>
    <w:rsid w:val="00752BB1"/>
    <w:rsid w:val="00756A2D"/>
    <w:rsid w:val="00762A2E"/>
    <w:rsid w:val="007723A0"/>
    <w:rsid w:val="0077256D"/>
    <w:rsid w:val="00780442"/>
    <w:rsid w:val="007843F9"/>
    <w:rsid w:val="007877F1"/>
    <w:rsid w:val="007972EA"/>
    <w:rsid w:val="007A0BC9"/>
    <w:rsid w:val="007A2F81"/>
    <w:rsid w:val="007B62AE"/>
    <w:rsid w:val="007C485C"/>
    <w:rsid w:val="007C728C"/>
    <w:rsid w:val="007C7513"/>
    <w:rsid w:val="007D4D95"/>
    <w:rsid w:val="007F0C22"/>
    <w:rsid w:val="00810433"/>
    <w:rsid w:val="00814FF0"/>
    <w:rsid w:val="00826043"/>
    <w:rsid w:val="008333C1"/>
    <w:rsid w:val="00835025"/>
    <w:rsid w:val="00841771"/>
    <w:rsid w:val="00843CEE"/>
    <w:rsid w:val="00855A6F"/>
    <w:rsid w:val="008575BF"/>
    <w:rsid w:val="00860DA4"/>
    <w:rsid w:val="008629B5"/>
    <w:rsid w:val="00864524"/>
    <w:rsid w:val="0086758F"/>
    <w:rsid w:val="00872F95"/>
    <w:rsid w:val="00882B78"/>
    <w:rsid w:val="008A6D35"/>
    <w:rsid w:val="008C1031"/>
    <w:rsid w:val="008C195A"/>
    <w:rsid w:val="008C2E2F"/>
    <w:rsid w:val="008C79C6"/>
    <w:rsid w:val="008D1D92"/>
    <w:rsid w:val="008E775F"/>
    <w:rsid w:val="008F7513"/>
    <w:rsid w:val="0090068C"/>
    <w:rsid w:val="009008AC"/>
    <w:rsid w:val="00911A26"/>
    <w:rsid w:val="00921512"/>
    <w:rsid w:val="009244E6"/>
    <w:rsid w:val="00942AAA"/>
    <w:rsid w:val="00947858"/>
    <w:rsid w:val="00967AE3"/>
    <w:rsid w:val="00974BD0"/>
    <w:rsid w:val="00986CEF"/>
    <w:rsid w:val="00986DD7"/>
    <w:rsid w:val="00991429"/>
    <w:rsid w:val="009931E5"/>
    <w:rsid w:val="009B69AB"/>
    <w:rsid w:val="009B7916"/>
    <w:rsid w:val="009C4AE1"/>
    <w:rsid w:val="009C6149"/>
    <w:rsid w:val="009C76AD"/>
    <w:rsid w:val="009D0B9D"/>
    <w:rsid w:val="009D0C21"/>
    <w:rsid w:val="009D1FE5"/>
    <w:rsid w:val="009D41E6"/>
    <w:rsid w:val="009E61F4"/>
    <w:rsid w:val="00A016B1"/>
    <w:rsid w:val="00A027A1"/>
    <w:rsid w:val="00A03439"/>
    <w:rsid w:val="00A05F81"/>
    <w:rsid w:val="00A16909"/>
    <w:rsid w:val="00A22121"/>
    <w:rsid w:val="00A2559B"/>
    <w:rsid w:val="00A316B0"/>
    <w:rsid w:val="00A316BE"/>
    <w:rsid w:val="00A37BBB"/>
    <w:rsid w:val="00A45675"/>
    <w:rsid w:val="00A53C9B"/>
    <w:rsid w:val="00A57B06"/>
    <w:rsid w:val="00A644A1"/>
    <w:rsid w:val="00A81528"/>
    <w:rsid w:val="00A85782"/>
    <w:rsid w:val="00A86424"/>
    <w:rsid w:val="00A86568"/>
    <w:rsid w:val="00AD2CB7"/>
    <w:rsid w:val="00AD7944"/>
    <w:rsid w:val="00B02D48"/>
    <w:rsid w:val="00B16B0D"/>
    <w:rsid w:val="00B238F6"/>
    <w:rsid w:val="00B34042"/>
    <w:rsid w:val="00B35203"/>
    <w:rsid w:val="00B37047"/>
    <w:rsid w:val="00B400EF"/>
    <w:rsid w:val="00B55681"/>
    <w:rsid w:val="00B556DD"/>
    <w:rsid w:val="00B55E4F"/>
    <w:rsid w:val="00B64AD8"/>
    <w:rsid w:val="00B72044"/>
    <w:rsid w:val="00B75077"/>
    <w:rsid w:val="00B75E91"/>
    <w:rsid w:val="00B81A46"/>
    <w:rsid w:val="00B92D5D"/>
    <w:rsid w:val="00BA1B21"/>
    <w:rsid w:val="00BA418A"/>
    <w:rsid w:val="00BA4CDE"/>
    <w:rsid w:val="00BA62EE"/>
    <w:rsid w:val="00BC3FFA"/>
    <w:rsid w:val="00BD08B7"/>
    <w:rsid w:val="00BD334C"/>
    <w:rsid w:val="00BD4D31"/>
    <w:rsid w:val="00BE3E71"/>
    <w:rsid w:val="00BE4890"/>
    <w:rsid w:val="00BF3CEE"/>
    <w:rsid w:val="00BF615F"/>
    <w:rsid w:val="00C126F7"/>
    <w:rsid w:val="00C15B31"/>
    <w:rsid w:val="00C17CAE"/>
    <w:rsid w:val="00C255DF"/>
    <w:rsid w:val="00C57064"/>
    <w:rsid w:val="00C77182"/>
    <w:rsid w:val="00C77681"/>
    <w:rsid w:val="00C819B5"/>
    <w:rsid w:val="00C91D67"/>
    <w:rsid w:val="00C957D6"/>
    <w:rsid w:val="00C95A37"/>
    <w:rsid w:val="00CC1053"/>
    <w:rsid w:val="00CC2CA7"/>
    <w:rsid w:val="00CC4EC6"/>
    <w:rsid w:val="00CD2815"/>
    <w:rsid w:val="00CE0C1C"/>
    <w:rsid w:val="00CF1895"/>
    <w:rsid w:val="00CF1E4A"/>
    <w:rsid w:val="00D0016E"/>
    <w:rsid w:val="00D050E8"/>
    <w:rsid w:val="00D17293"/>
    <w:rsid w:val="00D36598"/>
    <w:rsid w:val="00D44131"/>
    <w:rsid w:val="00D46D43"/>
    <w:rsid w:val="00D51B22"/>
    <w:rsid w:val="00D52FDE"/>
    <w:rsid w:val="00D844F3"/>
    <w:rsid w:val="00D9190F"/>
    <w:rsid w:val="00D93400"/>
    <w:rsid w:val="00D97FD5"/>
    <w:rsid w:val="00DB29CC"/>
    <w:rsid w:val="00DC132F"/>
    <w:rsid w:val="00DC2702"/>
    <w:rsid w:val="00DD2ED8"/>
    <w:rsid w:val="00DE6017"/>
    <w:rsid w:val="00DF0A61"/>
    <w:rsid w:val="00DF0BF3"/>
    <w:rsid w:val="00DF12DA"/>
    <w:rsid w:val="00E06941"/>
    <w:rsid w:val="00E10FE3"/>
    <w:rsid w:val="00E13795"/>
    <w:rsid w:val="00E13FDF"/>
    <w:rsid w:val="00E2456B"/>
    <w:rsid w:val="00E26855"/>
    <w:rsid w:val="00E329BA"/>
    <w:rsid w:val="00E35F1B"/>
    <w:rsid w:val="00E41AC9"/>
    <w:rsid w:val="00E4402C"/>
    <w:rsid w:val="00E442E8"/>
    <w:rsid w:val="00E45273"/>
    <w:rsid w:val="00E52D0C"/>
    <w:rsid w:val="00E52D1E"/>
    <w:rsid w:val="00E56365"/>
    <w:rsid w:val="00E84D15"/>
    <w:rsid w:val="00E863A7"/>
    <w:rsid w:val="00E905F8"/>
    <w:rsid w:val="00EA3B4A"/>
    <w:rsid w:val="00EA6472"/>
    <w:rsid w:val="00EB1663"/>
    <w:rsid w:val="00ED2401"/>
    <w:rsid w:val="00EE0A72"/>
    <w:rsid w:val="00EE2088"/>
    <w:rsid w:val="00F00107"/>
    <w:rsid w:val="00F02732"/>
    <w:rsid w:val="00F0308B"/>
    <w:rsid w:val="00F054A7"/>
    <w:rsid w:val="00F167BA"/>
    <w:rsid w:val="00F200FA"/>
    <w:rsid w:val="00F33498"/>
    <w:rsid w:val="00F35177"/>
    <w:rsid w:val="00F376A3"/>
    <w:rsid w:val="00F41F73"/>
    <w:rsid w:val="00F43631"/>
    <w:rsid w:val="00F8180E"/>
    <w:rsid w:val="00F93859"/>
    <w:rsid w:val="00FA67EB"/>
    <w:rsid w:val="00FB0F8A"/>
    <w:rsid w:val="00FC6CC0"/>
    <w:rsid w:val="00FD2C7A"/>
    <w:rsid w:val="00FD30F7"/>
    <w:rsid w:val="00FF3F18"/>
    <w:rsid w:val="00FF4198"/>
    <w:rsid w:val="00FF5A1E"/>
    <w:rsid w:val="0267D935"/>
    <w:rsid w:val="0358E45B"/>
    <w:rsid w:val="03D0A876"/>
    <w:rsid w:val="0DC91883"/>
    <w:rsid w:val="10C22037"/>
    <w:rsid w:val="17DC21C8"/>
    <w:rsid w:val="199C6BBE"/>
    <w:rsid w:val="1C071899"/>
    <w:rsid w:val="1E091205"/>
    <w:rsid w:val="1F073E80"/>
    <w:rsid w:val="207C5A49"/>
    <w:rsid w:val="21AB3C78"/>
    <w:rsid w:val="23B74540"/>
    <w:rsid w:val="23C3593A"/>
    <w:rsid w:val="26F56ADB"/>
    <w:rsid w:val="2709EF2C"/>
    <w:rsid w:val="27589483"/>
    <w:rsid w:val="33F6CBCC"/>
    <w:rsid w:val="37C1F3D3"/>
    <w:rsid w:val="39857697"/>
    <w:rsid w:val="3A9CCA2F"/>
    <w:rsid w:val="3DD1FFFF"/>
    <w:rsid w:val="3E01CFCA"/>
    <w:rsid w:val="40AD5F0C"/>
    <w:rsid w:val="4373028D"/>
    <w:rsid w:val="4756C5AA"/>
    <w:rsid w:val="48DC3E5D"/>
    <w:rsid w:val="4F9F1793"/>
    <w:rsid w:val="50368BC4"/>
    <w:rsid w:val="50F56821"/>
    <w:rsid w:val="528EFB62"/>
    <w:rsid w:val="58DD448A"/>
    <w:rsid w:val="5D3E5A85"/>
    <w:rsid w:val="608C21A5"/>
    <w:rsid w:val="63009933"/>
    <w:rsid w:val="644EB994"/>
    <w:rsid w:val="6AFB2621"/>
    <w:rsid w:val="6D0304FC"/>
    <w:rsid w:val="6D2FFDBF"/>
    <w:rsid w:val="70E202FA"/>
    <w:rsid w:val="71266F8E"/>
    <w:rsid w:val="736ECB4C"/>
    <w:rsid w:val="73AD076E"/>
    <w:rsid w:val="76CFF33D"/>
    <w:rsid w:val="76E677BA"/>
    <w:rsid w:val="77CFF06F"/>
    <w:rsid w:val="77DAB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BB01"/>
  <w15:docId w15:val="{608E3BC0-29A0-437D-8B06-691FAB96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0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790B"/>
    <w:pPr>
      <w:spacing w:before="100" w:beforeAutospacing="1" w:after="100" w:afterAutospacing="1"/>
    </w:pPr>
    <w:rPr>
      <w:lang w:val="en-IN" w:eastAsia="en-GB"/>
    </w:rPr>
  </w:style>
  <w:style w:type="paragraph" w:styleId="Revision">
    <w:name w:val="Revision"/>
    <w:hidden/>
    <w:uiPriority w:val="99"/>
    <w:semiHidden/>
    <w:rsid w:val="0055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0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047"/>
    <w:rPr>
      <w:rFonts w:ascii="Times New Roman" w:eastAsia="Times New Roman" w:hAnsi="Times New Roman" w:cs="Times New Roman"/>
      <w:sz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370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B6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B5F0-06D2-4165-82F4-6A1045D33D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b4a4d2-f55e-4cb1-9d3d-d9e45016299a}" enabled="1" method="Standard" siteId="{88281ca8-e525-4a8d-b965-480a7ac2b97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2341</Characters>
  <Application>Microsoft Office Word</Application>
  <DocSecurity>0</DocSecurity>
  <Lines>146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Mehul</dc:creator>
  <cp:keywords/>
  <dc:description/>
  <cp:lastModifiedBy>Mehul Bhandari</cp:lastModifiedBy>
  <cp:revision>11</cp:revision>
  <cp:lastPrinted>2024-08-29T23:21:00Z</cp:lastPrinted>
  <dcterms:created xsi:type="dcterms:W3CDTF">2024-08-29T23:21:00Z</dcterms:created>
  <dcterms:modified xsi:type="dcterms:W3CDTF">2024-08-30T10:36:00Z</dcterms:modified>
  <cp:category/>
</cp:coreProperties>
</file>