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7981" w:rsidRPr="006C3530" w:rsidRDefault="00207981" w:rsidP="00207981">
      <w:pPr>
        <w:jc w:val="both"/>
      </w:pPr>
    </w:p>
    <w:p w:rsidR="00207981" w:rsidRPr="006A022A" w:rsidRDefault="00207981" w:rsidP="00207981">
      <w:pPr>
        <w:jc w:val="center"/>
        <w:rPr>
          <w:b/>
          <w:bCs/>
          <w:sz w:val="28"/>
          <w:szCs w:val="28"/>
        </w:rPr>
      </w:pPr>
      <w:r>
        <w:rPr>
          <w:b/>
          <w:bCs/>
          <w:sz w:val="28"/>
          <w:szCs w:val="28"/>
        </w:rPr>
        <w:t>IAFI</w:t>
      </w:r>
      <w:r w:rsidRPr="006A022A">
        <w:rPr>
          <w:b/>
          <w:bCs/>
          <w:sz w:val="28"/>
          <w:szCs w:val="28"/>
        </w:rPr>
        <w:t>’s Input Document to Working Group (WG)</w:t>
      </w:r>
      <w:r>
        <w:rPr>
          <w:b/>
          <w:bCs/>
          <w:sz w:val="28"/>
          <w:szCs w:val="28"/>
        </w:rPr>
        <w:t>-</w:t>
      </w:r>
      <w:r w:rsidRPr="006A022A">
        <w:rPr>
          <w:b/>
          <w:bCs/>
          <w:sz w:val="28"/>
          <w:szCs w:val="28"/>
        </w:rPr>
        <w:t>1 of NFAP 2022 Review Committee</w:t>
      </w:r>
      <w:r>
        <w:rPr>
          <w:b/>
          <w:bCs/>
          <w:sz w:val="28"/>
          <w:szCs w:val="28"/>
        </w:rPr>
        <w:t xml:space="preserve"> – </w:t>
      </w:r>
      <w:r w:rsidR="00E95B45">
        <w:rPr>
          <w:b/>
          <w:bCs/>
          <w:sz w:val="28"/>
          <w:szCs w:val="28"/>
        </w:rPr>
        <w:t>Simplification of IND Remark IND16</w:t>
      </w:r>
    </w:p>
    <w:p w:rsidR="00207981" w:rsidRPr="00562232" w:rsidRDefault="00207981" w:rsidP="00207981">
      <w:pPr>
        <w:jc w:val="center"/>
        <w:rPr>
          <w:b/>
          <w:bCs/>
          <w:u w:val="single"/>
        </w:rPr>
      </w:pPr>
    </w:p>
    <w:tbl>
      <w:tblPr>
        <w:tblStyle w:val="TableGrid"/>
        <w:tblW w:w="9917" w:type="dxa"/>
        <w:tblLook w:val="04A0" w:firstRow="1" w:lastRow="0" w:firstColumn="1" w:lastColumn="0" w:noHBand="0" w:noVBand="1"/>
      </w:tblPr>
      <w:tblGrid>
        <w:gridCol w:w="924"/>
        <w:gridCol w:w="3295"/>
        <w:gridCol w:w="5698"/>
      </w:tblGrid>
      <w:tr w:rsidR="00207981" w:rsidTr="00D72E6E">
        <w:tc>
          <w:tcPr>
            <w:tcW w:w="9917" w:type="dxa"/>
            <w:gridSpan w:val="3"/>
          </w:tcPr>
          <w:p w:rsidR="00207981" w:rsidRDefault="00207981" w:rsidP="00D72E6E">
            <w:pPr>
              <w:rPr>
                <w:b/>
                <w:bCs/>
              </w:rPr>
            </w:pPr>
            <w:r w:rsidRPr="00FB0AE5">
              <w:rPr>
                <w:b/>
                <w:bCs/>
              </w:rPr>
              <w:t>Contribution for updating National Frequency Allocation Table-</w:t>
            </w:r>
            <w:proofErr w:type="gramStart"/>
            <w:r w:rsidRPr="00FB0AE5">
              <w:rPr>
                <w:b/>
                <w:bCs/>
              </w:rPr>
              <w:t>20</w:t>
            </w:r>
            <w:r>
              <w:rPr>
                <w:b/>
                <w:bCs/>
              </w:rPr>
              <w:t>22</w:t>
            </w:r>
            <w:r w:rsidRPr="00FB0AE5">
              <w:rPr>
                <w:b/>
                <w:bCs/>
              </w:rPr>
              <w:t xml:space="preserve">  (</w:t>
            </w:r>
            <w:proofErr w:type="gramEnd"/>
            <w:r>
              <w:rPr>
                <w:b/>
                <w:bCs/>
              </w:rPr>
              <w:t>upto</w:t>
            </w:r>
            <w:r w:rsidRPr="00FB0AE5">
              <w:rPr>
                <w:b/>
                <w:bCs/>
              </w:rPr>
              <w:t>1 GHz band)</w:t>
            </w:r>
          </w:p>
          <w:p w:rsidR="00207981" w:rsidRPr="00FB0AE5" w:rsidRDefault="00207981" w:rsidP="00D72E6E">
            <w:pPr>
              <w:rPr>
                <w:b/>
                <w:bCs/>
              </w:rPr>
            </w:pPr>
          </w:p>
        </w:tc>
      </w:tr>
      <w:tr w:rsidR="00207981" w:rsidTr="00D72E6E">
        <w:tc>
          <w:tcPr>
            <w:tcW w:w="924" w:type="dxa"/>
          </w:tcPr>
          <w:p w:rsidR="00207981" w:rsidRDefault="00207981" w:rsidP="00D72E6E">
            <w:r>
              <w:t>1</w:t>
            </w:r>
          </w:p>
        </w:tc>
        <w:tc>
          <w:tcPr>
            <w:tcW w:w="3295" w:type="dxa"/>
          </w:tcPr>
          <w:p w:rsidR="00207981" w:rsidRDefault="00207981" w:rsidP="00D72E6E">
            <w:r>
              <w:t>Name of Individual/Organization etc</w:t>
            </w:r>
            <w:r w:rsidR="00C574A7">
              <w:t>.</w:t>
            </w:r>
          </w:p>
        </w:tc>
        <w:tc>
          <w:tcPr>
            <w:tcW w:w="5698" w:type="dxa"/>
          </w:tcPr>
          <w:p w:rsidR="00207981" w:rsidRDefault="00207981" w:rsidP="00D72E6E">
            <w:r>
              <w:t>ITU-APT Foundation of India (IAFI)</w:t>
            </w:r>
          </w:p>
        </w:tc>
      </w:tr>
      <w:tr w:rsidR="00207981" w:rsidTr="00D72E6E">
        <w:tc>
          <w:tcPr>
            <w:tcW w:w="924" w:type="dxa"/>
          </w:tcPr>
          <w:p w:rsidR="00207981" w:rsidRDefault="00207981" w:rsidP="00D72E6E">
            <w:r>
              <w:t>2</w:t>
            </w:r>
          </w:p>
        </w:tc>
        <w:tc>
          <w:tcPr>
            <w:tcW w:w="3295" w:type="dxa"/>
          </w:tcPr>
          <w:p w:rsidR="00207981" w:rsidRDefault="00207981" w:rsidP="00D72E6E">
            <w:r>
              <w:t>Address</w:t>
            </w:r>
          </w:p>
        </w:tc>
        <w:tc>
          <w:tcPr>
            <w:tcW w:w="5698" w:type="dxa"/>
          </w:tcPr>
          <w:p w:rsidR="00207981" w:rsidRDefault="00207981" w:rsidP="00D72E6E">
            <w:r w:rsidRPr="3F9B0001">
              <w:t>504, 5th Floor, World Trade Center (Behind Lalit Hotel) Barakhamba Road New Delhi- 110001</w:t>
            </w:r>
          </w:p>
        </w:tc>
      </w:tr>
      <w:tr w:rsidR="00207981" w:rsidTr="00D72E6E">
        <w:tc>
          <w:tcPr>
            <w:tcW w:w="924" w:type="dxa"/>
          </w:tcPr>
          <w:p w:rsidR="00207981" w:rsidRDefault="00207981" w:rsidP="00D72E6E">
            <w:r>
              <w:t>3</w:t>
            </w:r>
          </w:p>
        </w:tc>
        <w:tc>
          <w:tcPr>
            <w:tcW w:w="3295" w:type="dxa"/>
          </w:tcPr>
          <w:p w:rsidR="00207981" w:rsidRDefault="00207981" w:rsidP="00D72E6E">
            <w:r>
              <w:t>Mail ID</w:t>
            </w:r>
          </w:p>
        </w:tc>
        <w:tc>
          <w:tcPr>
            <w:tcW w:w="5698" w:type="dxa"/>
          </w:tcPr>
          <w:p w:rsidR="00207981" w:rsidRDefault="00207981" w:rsidP="00D72E6E">
            <w:r w:rsidRPr="3F9B0001">
              <w:t>info@iafi.in</w:t>
            </w:r>
          </w:p>
        </w:tc>
      </w:tr>
      <w:tr w:rsidR="00207981" w:rsidTr="00D72E6E">
        <w:tc>
          <w:tcPr>
            <w:tcW w:w="924" w:type="dxa"/>
            <w:tcBorders>
              <w:bottom w:val="single" w:sz="4" w:space="0" w:color="auto"/>
            </w:tcBorders>
          </w:tcPr>
          <w:p w:rsidR="00207981" w:rsidRDefault="00207981" w:rsidP="00D72E6E">
            <w:r>
              <w:t>4</w:t>
            </w:r>
          </w:p>
        </w:tc>
        <w:tc>
          <w:tcPr>
            <w:tcW w:w="3295" w:type="dxa"/>
            <w:tcBorders>
              <w:bottom w:val="single" w:sz="4" w:space="0" w:color="auto"/>
            </w:tcBorders>
          </w:tcPr>
          <w:p w:rsidR="00207981" w:rsidRDefault="00207981" w:rsidP="00D72E6E">
            <w:r>
              <w:t>Phone/Mobile no.</w:t>
            </w:r>
          </w:p>
        </w:tc>
        <w:tc>
          <w:tcPr>
            <w:tcW w:w="5698" w:type="dxa"/>
            <w:tcBorders>
              <w:bottom w:val="single" w:sz="4" w:space="0" w:color="auto"/>
            </w:tcBorders>
          </w:tcPr>
          <w:p w:rsidR="00207981" w:rsidRDefault="00207981" w:rsidP="00D72E6E">
            <w:pPr>
              <w:rPr>
                <w:rFonts w:ascii="Arial" w:eastAsia="Arial" w:hAnsi="Arial" w:cs="Arial"/>
                <w:color w:val="000000" w:themeColor="text1"/>
                <w:sz w:val="18"/>
                <w:szCs w:val="18"/>
              </w:rPr>
            </w:pPr>
          </w:p>
        </w:tc>
      </w:tr>
      <w:tr w:rsidR="00207981" w:rsidTr="00D72E6E">
        <w:tc>
          <w:tcPr>
            <w:tcW w:w="924" w:type="dxa"/>
            <w:tcBorders>
              <w:bottom w:val="single" w:sz="4" w:space="0" w:color="auto"/>
            </w:tcBorders>
          </w:tcPr>
          <w:p w:rsidR="00207981" w:rsidRDefault="00207981" w:rsidP="00D72E6E">
            <w:r>
              <w:t>5(a)*</w:t>
            </w:r>
          </w:p>
        </w:tc>
        <w:tc>
          <w:tcPr>
            <w:tcW w:w="3295" w:type="dxa"/>
            <w:tcBorders>
              <w:bottom w:val="single" w:sz="4" w:space="0" w:color="auto"/>
            </w:tcBorders>
          </w:tcPr>
          <w:p w:rsidR="00207981" w:rsidRDefault="00207981" w:rsidP="00D72E6E">
            <w:r>
              <w:t>Nature of business</w:t>
            </w:r>
          </w:p>
          <w:p w:rsidR="00207981" w:rsidRDefault="00207981" w:rsidP="00D72E6E"/>
        </w:tc>
        <w:tc>
          <w:tcPr>
            <w:tcW w:w="5698" w:type="dxa"/>
            <w:tcBorders>
              <w:bottom w:val="single" w:sz="4" w:space="0" w:color="auto"/>
            </w:tcBorders>
          </w:tcPr>
          <w:p w:rsidR="00207981" w:rsidRDefault="00207981" w:rsidP="00D72E6E">
            <w:r w:rsidRPr="3F9B0001">
              <w:t xml:space="preserve">Telecommunication   </w:t>
            </w:r>
          </w:p>
        </w:tc>
      </w:tr>
      <w:tr w:rsidR="00207981" w:rsidTr="00D72E6E">
        <w:tc>
          <w:tcPr>
            <w:tcW w:w="924" w:type="dxa"/>
            <w:tcBorders>
              <w:bottom w:val="single" w:sz="4" w:space="0" w:color="auto"/>
            </w:tcBorders>
          </w:tcPr>
          <w:p w:rsidR="00207981" w:rsidRDefault="00207981" w:rsidP="00D72E6E">
            <w:r>
              <w:t>5 (b)</w:t>
            </w:r>
          </w:p>
        </w:tc>
        <w:tc>
          <w:tcPr>
            <w:tcW w:w="3295" w:type="dxa"/>
            <w:tcBorders>
              <w:bottom w:val="single" w:sz="4" w:space="0" w:color="auto"/>
            </w:tcBorders>
          </w:tcPr>
          <w:p w:rsidR="00207981" w:rsidRDefault="00207981" w:rsidP="00D72E6E">
            <w:r>
              <w:t xml:space="preserve">Type of </w:t>
            </w:r>
            <w:r w:rsidR="00C574A7">
              <w:t>Organization</w:t>
            </w:r>
            <w:r>
              <w:t xml:space="preserve"> </w:t>
            </w:r>
          </w:p>
          <w:p w:rsidR="00207981" w:rsidRDefault="00207981" w:rsidP="00D72E6E">
            <w:r>
              <w:t xml:space="preserve">(Pvt </w:t>
            </w:r>
            <w:r w:rsidRPr="00142A41">
              <w:t xml:space="preserve">industry, </w:t>
            </w:r>
            <w:r>
              <w:t xml:space="preserve">Association, </w:t>
            </w:r>
            <w:r w:rsidRPr="00142A41">
              <w:t>academia,</w:t>
            </w:r>
            <w:r>
              <w:t xml:space="preserve"> PSU,</w:t>
            </w:r>
            <w:r w:rsidRPr="00142A41">
              <w:t xml:space="preserve"> government departments</w:t>
            </w:r>
            <w:r>
              <w:t xml:space="preserve"> etc.)</w:t>
            </w:r>
          </w:p>
        </w:tc>
        <w:tc>
          <w:tcPr>
            <w:tcW w:w="5698" w:type="dxa"/>
            <w:tcBorders>
              <w:bottom w:val="single" w:sz="4" w:space="0" w:color="auto"/>
            </w:tcBorders>
          </w:tcPr>
          <w:p w:rsidR="00207981" w:rsidRDefault="00207981" w:rsidP="00D72E6E">
            <w:r>
              <w:t>Industry Association</w:t>
            </w:r>
          </w:p>
        </w:tc>
      </w:tr>
      <w:tr w:rsidR="00207981" w:rsidTr="00D72E6E">
        <w:tc>
          <w:tcPr>
            <w:tcW w:w="924" w:type="dxa"/>
            <w:tcBorders>
              <w:top w:val="single" w:sz="4" w:space="0" w:color="auto"/>
              <w:left w:val="nil"/>
              <w:bottom w:val="single" w:sz="4" w:space="0" w:color="auto"/>
              <w:right w:val="nil"/>
            </w:tcBorders>
          </w:tcPr>
          <w:p w:rsidR="00207981" w:rsidRDefault="00207981" w:rsidP="00D72E6E">
            <w:pPr>
              <w:tabs>
                <w:tab w:val="left" w:pos="561"/>
              </w:tabs>
            </w:pPr>
          </w:p>
        </w:tc>
        <w:tc>
          <w:tcPr>
            <w:tcW w:w="3295" w:type="dxa"/>
            <w:tcBorders>
              <w:top w:val="single" w:sz="4" w:space="0" w:color="auto"/>
              <w:left w:val="nil"/>
              <w:bottom w:val="single" w:sz="4" w:space="0" w:color="auto"/>
              <w:right w:val="nil"/>
            </w:tcBorders>
          </w:tcPr>
          <w:p w:rsidR="00207981" w:rsidRDefault="00207981" w:rsidP="00D72E6E"/>
        </w:tc>
        <w:tc>
          <w:tcPr>
            <w:tcW w:w="5698" w:type="dxa"/>
            <w:tcBorders>
              <w:top w:val="single" w:sz="4" w:space="0" w:color="auto"/>
              <w:left w:val="nil"/>
              <w:bottom w:val="single" w:sz="4" w:space="0" w:color="auto"/>
              <w:right w:val="nil"/>
            </w:tcBorders>
          </w:tcPr>
          <w:p w:rsidR="00207981" w:rsidRDefault="00207981" w:rsidP="00D72E6E"/>
        </w:tc>
      </w:tr>
      <w:tr w:rsidR="00207981" w:rsidTr="00D72E6E">
        <w:tc>
          <w:tcPr>
            <w:tcW w:w="924" w:type="dxa"/>
            <w:tcBorders>
              <w:top w:val="single" w:sz="4" w:space="0" w:color="auto"/>
            </w:tcBorders>
          </w:tcPr>
          <w:p w:rsidR="00207981" w:rsidRDefault="00207981" w:rsidP="00D72E6E">
            <w:pPr>
              <w:tabs>
                <w:tab w:val="left" w:pos="561"/>
              </w:tabs>
            </w:pPr>
            <w:r>
              <w:t>6</w:t>
            </w:r>
            <w:r>
              <w:tab/>
            </w:r>
          </w:p>
        </w:tc>
        <w:tc>
          <w:tcPr>
            <w:tcW w:w="3295" w:type="dxa"/>
            <w:tcBorders>
              <w:top w:val="single" w:sz="4" w:space="0" w:color="auto"/>
            </w:tcBorders>
          </w:tcPr>
          <w:p w:rsidR="00207981" w:rsidRDefault="00207981" w:rsidP="00D72E6E">
            <w:r>
              <w:t>Frequency band (kHz/MHz)</w:t>
            </w:r>
          </w:p>
        </w:tc>
        <w:tc>
          <w:tcPr>
            <w:tcW w:w="5698" w:type="dxa"/>
            <w:tcBorders>
              <w:top w:val="single" w:sz="4" w:space="0" w:color="auto"/>
            </w:tcBorders>
          </w:tcPr>
          <w:p w:rsidR="00207981" w:rsidRDefault="00207981" w:rsidP="00D72E6E">
            <w:r>
              <w:t>612-</w:t>
            </w:r>
            <w:r w:rsidR="00E95B45">
              <w:t>960, 1427-1518 MHz, 1710-2200</w:t>
            </w:r>
            <w:r>
              <w:t xml:space="preserve"> MHz</w:t>
            </w:r>
            <w:r w:rsidR="00E95B45">
              <w:t xml:space="preserve">, 2300-2450 </w:t>
            </w:r>
            <w:proofErr w:type="spellStart"/>
            <w:r w:rsidR="00E95B45">
              <w:t>Mhz</w:t>
            </w:r>
            <w:proofErr w:type="spellEnd"/>
            <w:r w:rsidR="00E95B45">
              <w:t xml:space="preserve">, 2500-2690 MHz, 3300-3670 MHz, </w:t>
            </w:r>
            <w:r w:rsidR="00E95B45" w:rsidRPr="00E95B45">
              <w:t>24.25-27.5 GHz, 37-43.5 GHz, 47.2-48.2 GHz</w:t>
            </w:r>
            <w:r w:rsidR="00E95B45">
              <w:t xml:space="preserve">, </w:t>
            </w:r>
            <w:r w:rsidR="00E95B45" w:rsidRPr="00C2238B">
              <w:t>66-71 GHz</w:t>
            </w:r>
          </w:p>
          <w:p w:rsidR="00E95B45" w:rsidRDefault="00E95B45" w:rsidP="00D72E6E"/>
        </w:tc>
      </w:tr>
      <w:tr w:rsidR="00207981" w:rsidTr="00D72E6E">
        <w:tc>
          <w:tcPr>
            <w:tcW w:w="924" w:type="dxa"/>
          </w:tcPr>
          <w:p w:rsidR="00207981" w:rsidRDefault="00207981" w:rsidP="00D72E6E">
            <w:r>
              <w:t>7*</w:t>
            </w:r>
          </w:p>
        </w:tc>
        <w:tc>
          <w:tcPr>
            <w:tcW w:w="3295" w:type="dxa"/>
          </w:tcPr>
          <w:p w:rsidR="00207981" w:rsidRDefault="00207981" w:rsidP="00D72E6E">
            <w:r>
              <w:t>Applications of service</w:t>
            </w:r>
          </w:p>
          <w:p w:rsidR="00207981" w:rsidRDefault="00207981" w:rsidP="00D72E6E"/>
        </w:tc>
        <w:tc>
          <w:tcPr>
            <w:tcW w:w="5698" w:type="dxa"/>
          </w:tcPr>
          <w:p w:rsidR="00207981" w:rsidRDefault="00207981" w:rsidP="00D72E6E">
            <w:r>
              <w:t>IMT</w:t>
            </w:r>
          </w:p>
        </w:tc>
      </w:tr>
      <w:tr w:rsidR="00207981" w:rsidTr="00D72E6E">
        <w:tc>
          <w:tcPr>
            <w:tcW w:w="924" w:type="dxa"/>
          </w:tcPr>
          <w:p w:rsidR="00207981" w:rsidRDefault="00207981" w:rsidP="00D72E6E">
            <w:r>
              <w:t>8</w:t>
            </w:r>
          </w:p>
        </w:tc>
        <w:tc>
          <w:tcPr>
            <w:tcW w:w="3295" w:type="dxa"/>
          </w:tcPr>
          <w:p w:rsidR="00207981" w:rsidRDefault="00207981" w:rsidP="00D72E6E">
            <w:r>
              <w:t>Minimum &amp; Maximum power with unit</w:t>
            </w:r>
          </w:p>
        </w:tc>
        <w:tc>
          <w:tcPr>
            <w:tcW w:w="5698" w:type="dxa"/>
          </w:tcPr>
          <w:p w:rsidR="00207981" w:rsidRDefault="00207981" w:rsidP="00D72E6E">
            <w:r>
              <w:t>As per 3GPP</w:t>
            </w:r>
          </w:p>
        </w:tc>
      </w:tr>
      <w:tr w:rsidR="00207981" w:rsidTr="00D72E6E">
        <w:trPr>
          <w:trHeight w:val="790"/>
        </w:trPr>
        <w:tc>
          <w:tcPr>
            <w:tcW w:w="924" w:type="dxa"/>
          </w:tcPr>
          <w:p w:rsidR="00207981" w:rsidRDefault="00207981" w:rsidP="00D72E6E">
            <w:r>
              <w:t>9</w:t>
            </w:r>
          </w:p>
        </w:tc>
        <w:tc>
          <w:tcPr>
            <w:tcW w:w="3295" w:type="dxa"/>
          </w:tcPr>
          <w:p w:rsidR="00207981" w:rsidRDefault="00207981" w:rsidP="00D72E6E">
            <w:r>
              <w:t>Purpose</w:t>
            </w:r>
          </w:p>
        </w:tc>
        <w:tc>
          <w:tcPr>
            <w:tcW w:w="5698" w:type="dxa"/>
          </w:tcPr>
          <w:p w:rsidR="00207981" w:rsidRDefault="00207981" w:rsidP="00D72E6E">
            <w:pPr>
              <w:jc w:val="both"/>
            </w:pPr>
            <w:r>
              <w:t>Mobile Services</w:t>
            </w:r>
          </w:p>
          <w:p w:rsidR="00207981" w:rsidRDefault="00207981" w:rsidP="00D72E6E">
            <w:pPr>
              <w:jc w:val="both"/>
            </w:pPr>
          </w:p>
        </w:tc>
      </w:tr>
      <w:tr w:rsidR="00207981" w:rsidRPr="00481EBE" w:rsidTr="00D72E6E">
        <w:tc>
          <w:tcPr>
            <w:tcW w:w="924" w:type="dxa"/>
          </w:tcPr>
          <w:p w:rsidR="00207981" w:rsidRDefault="00207981" w:rsidP="00D72E6E">
            <w:r>
              <w:t>10 (a)</w:t>
            </w:r>
          </w:p>
        </w:tc>
        <w:tc>
          <w:tcPr>
            <w:tcW w:w="3295" w:type="dxa"/>
          </w:tcPr>
          <w:p w:rsidR="00207981" w:rsidRDefault="00207981" w:rsidP="00D72E6E">
            <w:r>
              <w:t>Countries in which similar applications are used along with web link (if known)</w:t>
            </w:r>
          </w:p>
        </w:tc>
        <w:tc>
          <w:tcPr>
            <w:tcW w:w="5698" w:type="dxa"/>
          </w:tcPr>
          <w:p w:rsidR="00207981" w:rsidRPr="00207981" w:rsidRDefault="00207981" w:rsidP="00207981">
            <w:r>
              <w:t>As per ITU-R Recommendation M.1036</w:t>
            </w:r>
          </w:p>
        </w:tc>
      </w:tr>
      <w:tr w:rsidR="00207981" w:rsidTr="00D72E6E">
        <w:tc>
          <w:tcPr>
            <w:tcW w:w="924" w:type="dxa"/>
          </w:tcPr>
          <w:p w:rsidR="00207981" w:rsidRDefault="00207981" w:rsidP="00D72E6E">
            <w:pPr>
              <w:tabs>
                <w:tab w:val="left" w:pos="468"/>
              </w:tabs>
              <w:jc w:val="both"/>
            </w:pPr>
            <w:r>
              <w:t>10 (b)</w:t>
            </w:r>
          </w:p>
        </w:tc>
        <w:tc>
          <w:tcPr>
            <w:tcW w:w="3295" w:type="dxa"/>
          </w:tcPr>
          <w:p w:rsidR="00207981" w:rsidRDefault="00207981" w:rsidP="00D72E6E">
            <w:r>
              <w:t>Provisions in frequency allocation table along with footnote of the country along with web link (if known)</w:t>
            </w:r>
          </w:p>
        </w:tc>
        <w:tc>
          <w:tcPr>
            <w:tcW w:w="5698" w:type="dxa"/>
          </w:tcPr>
          <w:p w:rsidR="00207981" w:rsidRDefault="00207981" w:rsidP="00207981"/>
        </w:tc>
      </w:tr>
      <w:tr w:rsidR="00207981" w:rsidTr="00D72E6E">
        <w:tc>
          <w:tcPr>
            <w:tcW w:w="924" w:type="dxa"/>
          </w:tcPr>
          <w:p w:rsidR="00207981" w:rsidRDefault="00207981" w:rsidP="00D72E6E">
            <w:pPr>
              <w:tabs>
                <w:tab w:val="left" w:pos="468"/>
              </w:tabs>
              <w:jc w:val="both"/>
            </w:pPr>
            <w:r>
              <w:t>11</w:t>
            </w:r>
          </w:p>
        </w:tc>
        <w:tc>
          <w:tcPr>
            <w:tcW w:w="3295" w:type="dxa"/>
          </w:tcPr>
          <w:p w:rsidR="00207981" w:rsidRDefault="00207981" w:rsidP="00D72E6E">
            <w:r>
              <w:t>Radio Regulations provisions (if known)</w:t>
            </w:r>
          </w:p>
        </w:tc>
        <w:tc>
          <w:tcPr>
            <w:tcW w:w="5698" w:type="dxa"/>
          </w:tcPr>
          <w:p w:rsidR="00207981" w:rsidRDefault="00207981" w:rsidP="00D72E6E"/>
        </w:tc>
      </w:tr>
      <w:tr w:rsidR="00207981" w:rsidTr="00D72E6E">
        <w:tc>
          <w:tcPr>
            <w:tcW w:w="924" w:type="dxa"/>
          </w:tcPr>
          <w:p w:rsidR="00207981" w:rsidRDefault="00207981" w:rsidP="00D72E6E">
            <w:pPr>
              <w:tabs>
                <w:tab w:val="left" w:pos="468"/>
              </w:tabs>
              <w:jc w:val="both"/>
            </w:pPr>
            <w:r>
              <w:t>12*</w:t>
            </w:r>
          </w:p>
        </w:tc>
        <w:tc>
          <w:tcPr>
            <w:tcW w:w="3295" w:type="dxa"/>
          </w:tcPr>
          <w:p w:rsidR="00207981" w:rsidRDefault="00207981" w:rsidP="00D72E6E">
            <w:r>
              <w:t>Type of Radiocommunication service</w:t>
            </w:r>
          </w:p>
        </w:tc>
        <w:tc>
          <w:tcPr>
            <w:tcW w:w="5698" w:type="dxa"/>
          </w:tcPr>
          <w:p w:rsidR="00207981" w:rsidRDefault="00207981" w:rsidP="00D72E6E">
            <w:r>
              <w:t>M</w:t>
            </w:r>
            <w:r>
              <w:t>obile service</w:t>
            </w:r>
            <w:r>
              <w:t xml:space="preserve"> - IMT</w:t>
            </w:r>
          </w:p>
        </w:tc>
      </w:tr>
      <w:tr w:rsidR="00207981" w:rsidRPr="007A1A3F" w:rsidTr="00D72E6E">
        <w:trPr>
          <w:trHeight w:val="708"/>
        </w:trPr>
        <w:tc>
          <w:tcPr>
            <w:tcW w:w="924" w:type="dxa"/>
          </w:tcPr>
          <w:p w:rsidR="00207981" w:rsidRDefault="00207981" w:rsidP="00D72E6E">
            <w:r>
              <w:t>13</w:t>
            </w:r>
          </w:p>
        </w:tc>
        <w:tc>
          <w:tcPr>
            <w:tcW w:w="3295" w:type="dxa"/>
          </w:tcPr>
          <w:p w:rsidR="00207981" w:rsidRDefault="00207981" w:rsidP="00D72E6E">
            <w:r>
              <w:t>Compatible</w:t>
            </w:r>
            <w:r>
              <w:t xml:space="preserve"> Wireless Standard for the device likely to work in the proposed band (ETSI, 3GPP, IEEE, EC, FCC,</w:t>
            </w:r>
            <w:r>
              <w:t xml:space="preserve"> </w:t>
            </w:r>
            <w:r>
              <w:t>TEC etc</w:t>
            </w:r>
            <w:r>
              <w:t>.</w:t>
            </w:r>
            <w:r>
              <w:t xml:space="preserve"> or any proprietary </w:t>
            </w:r>
            <w:r>
              <w:t>standard</w:t>
            </w:r>
            <w:r>
              <w:t xml:space="preserve">) </w:t>
            </w:r>
          </w:p>
        </w:tc>
        <w:tc>
          <w:tcPr>
            <w:tcW w:w="5698" w:type="dxa"/>
          </w:tcPr>
          <w:p w:rsidR="00207981" w:rsidRPr="007A1A3F" w:rsidRDefault="00207981" w:rsidP="00D72E6E">
            <w:pPr>
              <w:rPr>
                <w:lang w:val="de-DE"/>
              </w:rPr>
            </w:pPr>
            <w:r>
              <w:t>4G, 5G – 3GPP specifications</w:t>
            </w:r>
          </w:p>
        </w:tc>
      </w:tr>
      <w:tr w:rsidR="00207981" w:rsidTr="00D72E6E">
        <w:trPr>
          <w:trHeight w:val="708"/>
        </w:trPr>
        <w:tc>
          <w:tcPr>
            <w:tcW w:w="924" w:type="dxa"/>
          </w:tcPr>
          <w:p w:rsidR="00207981" w:rsidRDefault="00207981" w:rsidP="00D72E6E">
            <w:r>
              <w:t>14</w:t>
            </w:r>
          </w:p>
        </w:tc>
        <w:tc>
          <w:tcPr>
            <w:tcW w:w="3295" w:type="dxa"/>
          </w:tcPr>
          <w:p w:rsidR="00207981" w:rsidRDefault="00207981" w:rsidP="00D72E6E">
            <w:r>
              <w:t>Benefit for public</w:t>
            </w:r>
          </w:p>
        </w:tc>
        <w:tc>
          <w:tcPr>
            <w:tcW w:w="5698" w:type="dxa"/>
          </w:tcPr>
          <w:p w:rsidR="00207981" w:rsidRPr="00207981" w:rsidRDefault="00E95B45" w:rsidP="00207981">
            <w:r>
              <w:t>For Public Mobile Services</w:t>
            </w:r>
          </w:p>
        </w:tc>
      </w:tr>
      <w:tr w:rsidR="00207981" w:rsidTr="00D72E6E">
        <w:tc>
          <w:tcPr>
            <w:tcW w:w="924" w:type="dxa"/>
          </w:tcPr>
          <w:p w:rsidR="00207981" w:rsidRDefault="00207981" w:rsidP="00D72E6E">
            <w:r>
              <w:t>15</w:t>
            </w:r>
          </w:p>
        </w:tc>
        <w:tc>
          <w:tcPr>
            <w:tcW w:w="3295" w:type="dxa"/>
          </w:tcPr>
          <w:p w:rsidR="00207981" w:rsidRDefault="00207981" w:rsidP="00D72E6E">
            <w:r>
              <w:t xml:space="preserve">If modification in NFAP-2022 </w:t>
            </w:r>
            <w:r>
              <w:t>footnote,</w:t>
            </w:r>
            <w:r>
              <w:t xml:space="preserve"> then quote relevant footnote no. of NFAP-22</w:t>
            </w:r>
          </w:p>
        </w:tc>
        <w:tc>
          <w:tcPr>
            <w:tcW w:w="5698" w:type="dxa"/>
          </w:tcPr>
          <w:p w:rsidR="00E95B45" w:rsidRDefault="00207981" w:rsidP="00D72E6E">
            <w:pPr>
              <w:jc w:val="both"/>
              <w:rPr>
                <w:i/>
                <w:iCs/>
              </w:rPr>
            </w:pPr>
            <w:r>
              <w:t>IAFI</w:t>
            </w:r>
            <w:r>
              <w:t xml:space="preserve"> proposes the following </w:t>
            </w:r>
            <w:r w:rsidR="00E95B45">
              <w:t xml:space="preserve">Revised </w:t>
            </w:r>
            <w:r>
              <w:t>text for a new India footnote: “</w:t>
            </w:r>
            <w:r w:rsidRPr="25299AAF">
              <w:rPr>
                <w:i/>
                <w:iCs/>
              </w:rPr>
              <w:t xml:space="preserve">IND </w:t>
            </w:r>
            <w:r w:rsidR="00E95B45">
              <w:rPr>
                <w:i/>
                <w:iCs/>
              </w:rPr>
              <w:t>16”</w:t>
            </w:r>
          </w:p>
          <w:p w:rsidR="00207981" w:rsidRDefault="00207981" w:rsidP="00E95B45">
            <w:r w:rsidRPr="25299AAF">
              <w:rPr>
                <w:i/>
                <w:iCs/>
              </w:rPr>
              <w:t xml:space="preserve"> The frequency band</w:t>
            </w:r>
            <w:r w:rsidR="00E95B45">
              <w:rPr>
                <w:i/>
                <w:iCs/>
              </w:rPr>
              <w:t>s</w:t>
            </w:r>
            <w:r w:rsidRPr="25299AAF">
              <w:rPr>
                <w:i/>
                <w:iCs/>
              </w:rPr>
              <w:t xml:space="preserve"> </w:t>
            </w:r>
            <w:r w:rsidR="00E95B45">
              <w:t xml:space="preserve">612-960, 1427-1518 MHz, 1710-2200 MHz, 2300-2450 </w:t>
            </w:r>
            <w:r w:rsidR="00E95B45">
              <w:t>MHz</w:t>
            </w:r>
            <w:r w:rsidR="00E95B45">
              <w:t xml:space="preserve">, 2500-2690 MHz, 3300-3670 MHz, </w:t>
            </w:r>
            <w:r w:rsidR="00E95B45" w:rsidRPr="00E95B45">
              <w:lastRenderedPageBreak/>
              <w:t>24.25-27.5 GHz, 37-43.5 GHz, 47.2-48.2 GHz</w:t>
            </w:r>
            <w:r w:rsidR="00E95B45">
              <w:t xml:space="preserve">, </w:t>
            </w:r>
            <w:r w:rsidR="00E95B45" w:rsidRPr="00C2238B">
              <w:t>66-71 GHz</w:t>
            </w:r>
            <w:r w:rsidR="00E95B45">
              <w:t xml:space="preserve"> </w:t>
            </w:r>
            <w:r w:rsidR="00E95B45">
              <w:t>or parts thereof, have been identified for implementation of International Mobile Telecommunications (IMT)</w:t>
            </w:r>
          </w:p>
        </w:tc>
      </w:tr>
      <w:tr w:rsidR="00207981" w:rsidTr="00D72E6E">
        <w:trPr>
          <w:trHeight w:val="433"/>
        </w:trPr>
        <w:tc>
          <w:tcPr>
            <w:tcW w:w="924" w:type="dxa"/>
          </w:tcPr>
          <w:p w:rsidR="00207981" w:rsidRDefault="00207981" w:rsidP="00D72E6E">
            <w:r>
              <w:lastRenderedPageBreak/>
              <w:t>16</w:t>
            </w:r>
          </w:p>
        </w:tc>
        <w:tc>
          <w:tcPr>
            <w:tcW w:w="3295" w:type="dxa"/>
          </w:tcPr>
          <w:p w:rsidR="00207981" w:rsidRDefault="00207981" w:rsidP="00D72E6E">
            <w:r>
              <w:t>Remarks</w:t>
            </w:r>
          </w:p>
          <w:p w:rsidR="00207981" w:rsidRDefault="00207981" w:rsidP="00D72E6E"/>
          <w:p w:rsidR="00207981" w:rsidRDefault="00207981" w:rsidP="00D72E6E"/>
        </w:tc>
        <w:tc>
          <w:tcPr>
            <w:tcW w:w="5698" w:type="dxa"/>
          </w:tcPr>
          <w:p w:rsidR="00207981" w:rsidRDefault="00E95B45" w:rsidP="00D72E6E">
            <w:pPr>
              <w:tabs>
                <w:tab w:val="left" w:pos="2743"/>
              </w:tabs>
              <w:jc w:val="both"/>
            </w:pPr>
            <w:r>
              <w:t>The following Remarks are to be added</w:t>
            </w:r>
          </w:p>
          <w:p w:rsidR="00E95B45" w:rsidRDefault="00E95B45" w:rsidP="00E95B45">
            <w:r>
              <w:t xml:space="preserve">Note </w:t>
            </w:r>
            <w:r>
              <w:t>1</w:t>
            </w:r>
            <w:r>
              <w:t>: The frequency range 612-698 MHz may be used for IMT except that certain point to point links, subject to population being less, may be protected initially at few locations. Such sporadic non-IMT users shall vacate the band in near future.</w:t>
            </w:r>
          </w:p>
          <w:p w:rsidR="00E95B45" w:rsidRDefault="00E95B45" w:rsidP="00E95B45"/>
          <w:p w:rsidR="00E95B45" w:rsidRDefault="00E95B45" w:rsidP="00E95B45">
            <w:r>
              <w:t xml:space="preserve">Note </w:t>
            </w:r>
            <w:r>
              <w:t>2</w:t>
            </w:r>
            <w:r>
              <w:t>: The frequency band 3300-3400 MHz may be used for implementation of IMT except that initially some usages towards high seas-beyond 50 kms from the coast- and some links in very less populated areas may be permitted for non-IMT usages. Such non-IMT usages shall be shifted to other bands in near future.</w:t>
            </w:r>
          </w:p>
          <w:p w:rsidR="00E95B45" w:rsidRDefault="00E95B45" w:rsidP="00E95B45"/>
          <w:p w:rsidR="00E95B45" w:rsidRDefault="00E95B45" w:rsidP="00E95B45">
            <w:r>
              <w:t xml:space="preserve">Note </w:t>
            </w:r>
            <w:r>
              <w:t>3</w:t>
            </w:r>
            <w:r>
              <w:t xml:space="preserve">: The frequency range 3400-3425 MHz may be used for implementation of IMT except that in six DoS (Department of Space) locations at Thiruvanthapuram, Hassan, Bhopal, Jodhpur, Shillong and A&amp;N Islands, a suitable keep-off distance shall be maintained by the IMT stations. </w:t>
            </w:r>
          </w:p>
          <w:p w:rsidR="00E95B45" w:rsidRDefault="00E95B45" w:rsidP="00E95B45"/>
          <w:p w:rsidR="00E95B45" w:rsidRDefault="00E95B45" w:rsidP="00E95B45">
            <w:r>
              <w:t>Note</w:t>
            </w:r>
            <w:r>
              <w:t xml:space="preserve"> 4</w:t>
            </w:r>
            <w:r>
              <w:t xml:space="preserve">: The frequency range 3600-3670 MHz may be used for implementation of IMT. The Satellite services may use the C band frequencies beyond 3670 MHz after leaving a guard band of 10 </w:t>
            </w:r>
            <w:proofErr w:type="spellStart"/>
            <w:r>
              <w:t>MHz.</w:t>
            </w:r>
            <w:proofErr w:type="spellEnd"/>
          </w:p>
          <w:p w:rsidR="00E95B45" w:rsidRDefault="00E95B45" w:rsidP="00E95B45"/>
          <w:p w:rsidR="00E95B45" w:rsidRDefault="00E95B45" w:rsidP="00E95B45">
            <w:r>
              <w:t xml:space="preserve">Note </w:t>
            </w:r>
            <w:r>
              <w:t>5</w:t>
            </w:r>
            <w:r>
              <w:t>: The frequency range 24.25-27.5 GHz may be used for implementation of IMT except that in 25.5-27 GHz frequency range the IMT stations will be required to maintain a keep-off distance of 2.7 kms around five DoS locations at Delhi, Shadnagar, Khambaliya, Hut Bay and Tirunelveli.</w:t>
            </w:r>
          </w:p>
          <w:p w:rsidR="00E95B45" w:rsidRDefault="00E95B45" w:rsidP="00E95B45"/>
          <w:p w:rsidR="00E95B45" w:rsidRDefault="00E95B45" w:rsidP="00E95B45">
            <w:r>
              <w:t xml:space="preserve">Note </w:t>
            </w:r>
            <w:r>
              <w:t>6</w:t>
            </w:r>
            <w:r>
              <w:t>: While considering the bands 37-43.5 GHz, 47.2-48.2 GHz and 66-71 GHz for the implementation of International Mobile Telecommunications (IMT), the requirements of Satellite based and other services to which these bands might have been allocated in the RR, may be taken due care of.</w:t>
            </w:r>
          </w:p>
          <w:p w:rsidR="00E95B45" w:rsidRDefault="00E95B45" w:rsidP="00E95B45"/>
          <w:p w:rsidR="00E95B45" w:rsidRDefault="00E95B45" w:rsidP="00D72E6E">
            <w:pPr>
              <w:tabs>
                <w:tab w:val="left" w:pos="2743"/>
              </w:tabs>
              <w:jc w:val="both"/>
            </w:pPr>
          </w:p>
        </w:tc>
      </w:tr>
    </w:tbl>
    <w:p w:rsidR="00207981" w:rsidRDefault="00207981" w:rsidP="00207981">
      <w:r>
        <w:t>Note.</w:t>
      </w:r>
    </w:p>
    <w:p w:rsidR="00207981" w:rsidRDefault="00207981" w:rsidP="00207981">
      <w:r>
        <w:t>5</w:t>
      </w:r>
      <w:proofErr w:type="gramStart"/>
      <w:r>
        <w:t>* .</w:t>
      </w:r>
      <w:proofErr w:type="gramEnd"/>
      <w:r>
        <w:t xml:space="preserve"> Construction service / Manufacturing service/ Shipping Service/Aeronautical Service </w:t>
      </w:r>
      <w:proofErr w:type="spellStart"/>
      <w:r>
        <w:t>etc</w:t>
      </w:r>
      <w:proofErr w:type="spellEnd"/>
    </w:p>
    <w:p w:rsidR="00207981" w:rsidRDefault="00207981" w:rsidP="00207981">
      <w:r>
        <w:t>7*.  Specify the operation of service (</w:t>
      </w:r>
      <w:proofErr w:type="spellStart"/>
      <w:r>
        <w:t>e.g</w:t>
      </w:r>
      <w:proofErr w:type="spellEnd"/>
      <w:r>
        <w:t xml:space="preserve"> Hand held radio/ Vehicle mobile radio/ point to point links/FM/Community Radio/</w:t>
      </w:r>
      <w:proofErr w:type="spellStart"/>
      <w:r>
        <w:t>Aeromobile</w:t>
      </w:r>
      <w:proofErr w:type="spellEnd"/>
      <w:r>
        <w:t xml:space="preserve">/Short Rang </w:t>
      </w:r>
      <w:proofErr w:type="gramStart"/>
      <w:r>
        <w:t xml:space="preserve">Device  </w:t>
      </w:r>
      <w:proofErr w:type="spellStart"/>
      <w:r>
        <w:t>etc</w:t>
      </w:r>
      <w:proofErr w:type="spellEnd"/>
      <w:proofErr w:type="gramEnd"/>
    </w:p>
    <w:p w:rsidR="00207981" w:rsidRDefault="00207981" w:rsidP="00207981">
      <w:r>
        <w:t xml:space="preserve">12* Amateur/Fixed/Land mobile/Aeronautical mobile/Maritime Mobile/Aeronautical radio navigation/FM broadcast/Community Radio Service </w:t>
      </w:r>
      <w:proofErr w:type="spellStart"/>
      <w:r>
        <w:t>etc</w:t>
      </w:r>
      <w:proofErr w:type="spellEnd"/>
    </w:p>
    <w:p w:rsidR="00207981" w:rsidRDefault="00207981" w:rsidP="00207981">
      <w:pPr>
        <w:jc w:val="right"/>
      </w:pPr>
    </w:p>
    <w:p w:rsidR="00207981" w:rsidRDefault="00207981" w:rsidP="00207981">
      <w:pPr>
        <w:jc w:val="right"/>
      </w:pPr>
    </w:p>
    <w:p w:rsidR="00207981" w:rsidRDefault="00207981" w:rsidP="00207981">
      <w:pPr>
        <w:jc w:val="right"/>
      </w:pPr>
    </w:p>
    <w:p w:rsidR="00207981" w:rsidRDefault="00207981" w:rsidP="00207981">
      <w:pPr>
        <w:jc w:val="right"/>
      </w:pPr>
      <w:r>
        <w:t>Date and Signature</w:t>
      </w:r>
    </w:p>
    <w:p w:rsidR="009E4196" w:rsidRDefault="009E4196"/>
    <w:sectPr w:rsidR="009E4196" w:rsidSect="00207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7133D"/>
    <w:multiLevelType w:val="hybridMultilevel"/>
    <w:tmpl w:val="5F966A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F5471B"/>
    <w:multiLevelType w:val="hybridMultilevel"/>
    <w:tmpl w:val="77DA7E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856C1E"/>
    <w:multiLevelType w:val="hybridMultilevel"/>
    <w:tmpl w:val="6D781AA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FD48A6"/>
    <w:multiLevelType w:val="hybridMultilevel"/>
    <w:tmpl w:val="8738E72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2141529">
    <w:abstractNumId w:val="1"/>
  </w:num>
  <w:num w:numId="2" w16cid:durableId="320813557">
    <w:abstractNumId w:val="3"/>
  </w:num>
  <w:num w:numId="3" w16cid:durableId="1012222932">
    <w:abstractNumId w:val="0"/>
  </w:num>
  <w:num w:numId="4" w16cid:durableId="902567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81"/>
    <w:rsid w:val="0007168F"/>
    <w:rsid w:val="00207981"/>
    <w:rsid w:val="003C02FF"/>
    <w:rsid w:val="003E24EF"/>
    <w:rsid w:val="005C7199"/>
    <w:rsid w:val="00687603"/>
    <w:rsid w:val="00736A3B"/>
    <w:rsid w:val="008468A0"/>
    <w:rsid w:val="00986C0D"/>
    <w:rsid w:val="009E4196"/>
    <w:rsid w:val="00AB445E"/>
    <w:rsid w:val="00C574A7"/>
    <w:rsid w:val="00E95B45"/>
    <w:rsid w:val="00F42B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6A62834"/>
  <w15:chartTrackingRefBased/>
  <w15:docId w15:val="{08BDF422-2FB5-A141-8CDB-B9BF0CB8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81"/>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7981"/>
    <w:rPr>
      <w:kern w:val="0"/>
      <w:sz w:val="22"/>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981"/>
    <w:pPr>
      <w:ind w:left="720"/>
      <w:contextualSpacing/>
    </w:pPr>
  </w:style>
  <w:style w:type="character" w:styleId="Hyperlink">
    <w:name w:val="Hyperlink"/>
    <w:aliases w:val="ECC Hyperlink,超级链接,CEO_Hyperlink"/>
    <w:basedOn w:val="DefaultParagraphFont"/>
    <w:uiPriority w:val="99"/>
    <w:unhideWhenUsed/>
    <w:rsid w:val="002079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IAFI</dc:creator>
  <cp:keywords/>
  <dc:description/>
  <cp:lastModifiedBy>IAFI</cp:lastModifiedBy>
  <cp:revision>2</cp:revision>
  <dcterms:created xsi:type="dcterms:W3CDTF">2024-08-13T09:28:00Z</dcterms:created>
  <dcterms:modified xsi:type="dcterms:W3CDTF">2024-08-13T09:28:00Z</dcterms:modified>
</cp:coreProperties>
</file>