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52BA9" w14:textId="77777777" w:rsidR="005023B0" w:rsidRPr="006C3530" w:rsidRDefault="005023B0" w:rsidP="005023B0">
      <w:pPr>
        <w:jc w:val="both"/>
      </w:pPr>
    </w:p>
    <w:p w14:paraId="71BFCA5C" w14:textId="12200630" w:rsidR="00562232" w:rsidRPr="006A022A" w:rsidRDefault="000F2545" w:rsidP="00562232">
      <w:pPr>
        <w:jc w:val="center"/>
        <w:rPr>
          <w:b/>
          <w:bCs/>
          <w:sz w:val="28"/>
          <w:szCs w:val="28"/>
        </w:rPr>
      </w:pPr>
      <w:r>
        <w:rPr>
          <w:b/>
          <w:bCs/>
          <w:sz w:val="28"/>
          <w:szCs w:val="28"/>
        </w:rPr>
        <w:t>IAFI</w:t>
      </w:r>
      <w:r w:rsidR="003E0B3C" w:rsidRPr="006A022A">
        <w:rPr>
          <w:b/>
          <w:bCs/>
          <w:sz w:val="28"/>
          <w:szCs w:val="28"/>
        </w:rPr>
        <w:t>’s Input Document to</w:t>
      </w:r>
      <w:r w:rsidR="00570CE8" w:rsidRPr="006A022A">
        <w:rPr>
          <w:b/>
          <w:bCs/>
          <w:sz w:val="28"/>
          <w:szCs w:val="28"/>
        </w:rPr>
        <w:t xml:space="preserve"> </w:t>
      </w:r>
      <w:r w:rsidR="00AD6E86" w:rsidRPr="006A022A">
        <w:rPr>
          <w:b/>
          <w:bCs/>
          <w:sz w:val="28"/>
          <w:szCs w:val="28"/>
        </w:rPr>
        <w:t>Working Group (</w:t>
      </w:r>
      <w:r w:rsidR="003E0B3C" w:rsidRPr="006A022A">
        <w:rPr>
          <w:b/>
          <w:bCs/>
          <w:sz w:val="28"/>
          <w:szCs w:val="28"/>
        </w:rPr>
        <w:t>WG</w:t>
      </w:r>
      <w:r w:rsidR="00AD6E86" w:rsidRPr="006A022A">
        <w:rPr>
          <w:b/>
          <w:bCs/>
          <w:sz w:val="28"/>
          <w:szCs w:val="28"/>
        </w:rPr>
        <w:t>)</w:t>
      </w:r>
      <w:r w:rsidR="005B53E8">
        <w:rPr>
          <w:b/>
          <w:bCs/>
          <w:sz w:val="28"/>
          <w:szCs w:val="28"/>
        </w:rPr>
        <w:t>-</w:t>
      </w:r>
      <w:r w:rsidR="003E0B3C" w:rsidRPr="006A022A">
        <w:rPr>
          <w:b/>
          <w:bCs/>
          <w:sz w:val="28"/>
          <w:szCs w:val="28"/>
        </w:rPr>
        <w:t>1</w:t>
      </w:r>
      <w:r w:rsidR="00AD6E86" w:rsidRPr="006A022A">
        <w:rPr>
          <w:b/>
          <w:bCs/>
          <w:sz w:val="28"/>
          <w:szCs w:val="28"/>
        </w:rPr>
        <w:t xml:space="preserve"> of</w:t>
      </w:r>
      <w:r w:rsidR="006C3530" w:rsidRPr="006A022A">
        <w:rPr>
          <w:b/>
          <w:bCs/>
          <w:sz w:val="28"/>
          <w:szCs w:val="28"/>
        </w:rPr>
        <w:t xml:space="preserve"> </w:t>
      </w:r>
      <w:r w:rsidR="00AD6E86" w:rsidRPr="006A022A">
        <w:rPr>
          <w:b/>
          <w:bCs/>
          <w:sz w:val="28"/>
          <w:szCs w:val="28"/>
        </w:rPr>
        <w:t>NFAP</w:t>
      </w:r>
      <w:r w:rsidR="006C3530" w:rsidRPr="006A022A">
        <w:rPr>
          <w:b/>
          <w:bCs/>
          <w:sz w:val="28"/>
          <w:szCs w:val="28"/>
        </w:rPr>
        <w:t xml:space="preserve"> 2022 Review Committee</w:t>
      </w:r>
    </w:p>
    <w:p w14:paraId="6F5343C5" w14:textId="77777777" w:rsidR="00E04A99" w:rsidRPr="00562232" w:rsidRDefault="00E04A99" w:rsidP="00562232">
      <w:pPr>
        <w:jc w:val="center"/>
        <w:rPr>
          <w:b/>
          <w:bCs/>
          <w:u w:val="single"/>
        </w:rPr>
      </w:pPr>
    </w:p>
    <w:tbl>
      <w:tblPr>
        <w:tblStyle w:val="TableGrid"/>
        <w:tblW w:w="9917" w:type="dxa"/>
        <w:tblLook w:val="04A0" w:firstRow="1" w:lastRow="0" w:firstColumn="1" w:lastColumn="0" w:noHBand="0" w:noVBand="1"/>
      </w:tblPr>
      <w:tblGrid>
        <w:gridCol w:w="924"/>
        <w:gridCol w:w="3295"/>
        <w:gridCol w:w="5698"/>
      </w:tblGrid>
      <w:tr w:rsidR="005023B0" w14:paraId="23996E05" w14:textId="77777777" w:rsidTr="3F9B0001">
        <w:tc>
          <w:tcPr>
            <w:tcW w:w="9917" w:type="dxa"/>
            <w:gridSpan w:val="3"/>
          </w:tcPr>
          <w:p w14:paraId="65C317FE" w14:textId="77777777" w:rsidR="005023B0" w:rsidRDefault="005023B0" w:rsidP="00631A9C">
            <w:pPr>
              <w:rPr>
                <w:b/>
                <w:bCs/>
              </w:rPr>
            </w:pPr>
            <w:r w:rsidRPr="00FB0AE5">
              <w:rPr>
                <w:b/>
                <w:bCs/>
              </w:rPr>
              <w:t>Contribution for updating National Frequency Allocation Table-</w:t>
            </w:r>
            <w:proofErr w:type="gramStart"/>
            <w:r w:rsidRPr="00FB0AE5">
              <w:rPr>
                <w:b/>
                <w:bCs/>
              </w:rPr>
              <w:t>20</w:t>
            </w:r>
            <w:r w:rsidR="00AD2CB7">
              <w:rPr>
                <w:b/>
                <w:bCs/>
              </w:rPr>
              <w:t>22</w:t>
            </w:r>
            <w:r w:rsidRPr="00FB0AE5">
              <w:rPr>
                <w:b/>
                <w:bCs/>
              </w:rPr>
              <w:t xml:space="preserve">  (</w:t>
            </w:r>
            <w:proofErr w:type="gramEnd"/>
            <w:r w:rsidR="000C64DD">
              <w:rPr>
                <w:b/>
                <w:bCs/>
              </w:rPr>
              <w:t>upto</w:t>
            </w:r>
            <w:r w:rsidRPr="00FB0AE5">
              <w:rPr>
                <w:b/>
                <w:bCs/>
              </w:rPr>
              <w:t>1 GHz band)</w:t>
            </w:r>
          </w:p>
          <w:p w14:paraId="087C4CC2" w14:textId="77777777" w:rsidR="005023B0" w:rsidRPr="00FB0AE5" w:rsidRDefault="005023B0" w:rsidP="00631A9C">
            <w:pPr>
              <w:rPr>
                <w:b/>
                <w:bCs/>
              </w:rPr>
            </w:pPr>
          </w:p>
        </w:tc>
      </w:tr>
      <w:tr w:rsidR="005023B0" w14:paraId="2A9DE550" w14:textId="77777777" w:rsidTr="3F9B0001">
        <w:tc>
          <w:tcPr>
            <w:tcW w:w="924" w:type="dxa"/>
          </w:tcPr>
          <w:p w14:paraId="501E6A7E" w14:textId="77777777" w:rsidR="005023B0" w:rsidRDefault="005023B0" w:rsidP="00631A9C">
            <w:r>
              <w:t>1</w:t>
            </w:r>
          </w:p>
        </w:tc>
        <w:tc>
          <w:tcPr>
            <w:tcW w:w="3295" w:type="dxa"/>
          </w:tcPr>
          <w:p w14:paraId="39E831D9" w14:textId="77777777" w:rsidR="005023B0" w:rsidRDefault="005023B0" w:rsidP="00631A9C">
            <w:r>
              <w:t xml:space="preserve">Name of Individual/Organization </w:t>
            </w:r>
            <w:proofErr w:type="spellStart"/>
            <w:r>
              <w:t>etc</w:t>
            </w:r>
            <w:proofErr w:type="spellEnd"/>
          </w:p>
        </w:tc>
        <w:tc>
          <w:tcPr>
            <w:tcW w:w="5698" w:type="dxa"/>
          </w:tcPr>
          <w:p w14:paraId="1BCD3604" w14:textId="65D1FD50" w:rsidR="005023B0" w:rsidRDefault="6047F0BC" w:rsidP="00631A9C">
            <w:r>
              <w:t>ITU-APT Foundation of India (IAFI)</w:t>
            </w:r>
          </w:p>
        </w:tc>
      </w:tr>
      <w:tr w:rsidR="005023B0" w14:paraId="2867C455" w14:textId="77777777" w:rsidTr="3F9B0001">
        <w:tc>
          <w:tcPr>
            <w:tcW w:w="924" w:type="dxa"/>
          </w:tcPr>
          <w:p w14:paraId="0672E7D6" w14:textId="77777777" w:rsidR="005023B0" w:rsidRDefault="005023B0" w:rsidP="00631A9C">
            <w:r>
              <w:t>2</w:t>
            </w:r>
          </w:p>
        </w:tc>
        <w:tc>
          <w:tcPr>
            <w:tcW w:w="3295" w:type="dxa"/>
          </w:tcPr>
          <w:p w14:paraId="0134B1F2" w14:textId="77777777" w:rsidR="005023B0" w:rsidRDefault="005023B0" w:rsidP="00631A9C">
            <w:r>
              <w:t>Address</w:t>
            </w:r>
          </w:p>
        </w:tc>
        <w:tc>
          <w:tcPr>
            <w:tcW w:w="5698" w:type="dxa"/>
          </w:tcPr>
          <w:p w14:paraId="5D9B430A" w14:textId="62CB5817" w:rsidR="005023B0" w:rsidRDefault="18114457" w:rsidP="3F9B0001">
            <w:r w:rsidRPr="3F9B0001">
              <w:t>504, 5th Floor, World Trade Center (Behind Lalit Hotel) Barakhamba Road New Delhi- 110001</w:t>
            </w:r>
          </w:p>
        </w:tc>
      </w:tr>
      <w:tr w:rsidR="005023B0" w14:paraId="4DB6F04A" w14:textId="77777777" w:rsidTr="3F9B0001">
        <w:tc>
          <w:tcPr>
            <w:tcW w:w="924" w:type="dxa"/>
          </w:tcPr>
          <w:p w14:paraId="2FE3ACD3" w14:textId="77777777" w:rsidR="005023B0" w:rsidRDefault="005023B0" w:rsidP="00631A9C">
            <w:r>
              <w:t>3</w:t>
            </w:r>
          </w:p>
        </w:tc>
        <w:tc>
          <w:tcPr>
            <w:tcW w:w="3295" w:type="dxa"/>
          </w:tcPr>
          <w:p w14:paraId="4C69DA1E" w14:textId="77777777" w:rsidR="005023B0" w:rsidRDefault="005023B0" w:rsidP="00631A9C">
            <w:r>
              <w:t>Mail ID</w:t>
            </w:r>
          </w:p>
        </w:tc>
        <w:tc>
          <w:tcPr>
            <w:tcW w:w="5698" w:type="dxa"/>
          </w:tcPr>
          <w:p w14:paraId="13E184F9" w14:textId="0A734891" w:rsidR="005023B0" w:rsidRDefault="74C51571" w:rsidP="3F9B0001">
            <w:r w:rsidRPr="3F9B0001">
              <w:t>info@iafi.in</w:t>
            </w:r>
          </w:p>
        </w:tc>
      </w:tr>
      <w:tr w:rsidR="005023B0" w14:paraId="69C2F20D" w14:textId="77777777" w:rsidTr="3F9B0001">
        <w:tc>
          <w:tcPr>
            <w:tcW w:w="924" w:type="dxa"/>
            <w:tcBorders>
              <w:bottom w:val="single" w:sz="4" w:space="0" w:color="auto"/>
            </w:tcBorders>
          </w:tcPr>
          <w:p w14:paraId="7E2D2AAF" w14:textId="77777777" w:rsidR="005023B0" w:rsidRDefault="005023B0" w:rsidP="00631A9C">
            <w:r>
              <w:t>4</w:t>
            </w:r>
          </w:p>
        </w:tc>
        <w:tc>
          <w:tcPr>
            <w:tcW w:w="3295" w:type="dxa"/>
            <w:tcBorders>
              <w:bottom w:val="single" w:sz="4" w:space="0" w:color="auto"/>
            </w:tcBorders>
          </w:tcPr>
          <w:p w14:paraId="25CB79AE" w14:textId="77777777" w:rsidR="005023B0" w:rsidRDefault="005023B0" w:rsidP="00631A9C">
            <w:r>
              <w:t>Phone/Mobile no.</w:t>
            </w:r>
          </w:p>
        </w:tc>
        <w:tc>
          <w:tcPr>
            <w:tcW w:w="5698" w:type="dxa"/>
            <w:tcBorders>
              <w:bottom w:val="single" w:sz="4" w:space="0" w:color="auto"/>
            </w:tcBorders>
          </w:tcPr>
          <w:p w14:paraId="0A07D6AA" w14:textId="347604F6" w:rsidR="005023B0" w:rsidRDefault="005023B0" w:rsidP="00631A9C">
            <w:pPr>
              <w:rPr>
                <w:rFonts w:ascii="Arial" w:eastAsia="Arial" w:hAnsi="Arial" w:cs="Arial"/>
                <w:color w:val="000000" w:themeColor="text1"/>
                <w:sz w:val="18"/>
                <w:szCs w:val="18"/>
              </w:rPr>
            </w:pPr>
          </w:p>
        </w:tc>
      </w:tr>
      <w:tr w:rsidR="005023B0" w14:paraId="46B1940A" w14:textId="77777777" w:rsidTr="3F9B0001">
        <w:tc>
          <w:tcPr>
            <w:tcW w:w="924" w:type="dxa"/>
            <w:tcBorders>
              <w:bottom w:val="single" w:sz="4" w:space="0" w:color="auto"/>
            </w:tcBorders>
          </w:tcPr>
          <w:p w14:paraId="76CCC2B2" w14:textId="77777777" w:rsidR="005023B0" w:rsidRDefault="005023B0" w:rsidP="00631A9C">
            <w:r>
              <w:t>5</w:t>
            </w:r>
            <w:r w:rsidR="00142A41">
              <w:t>(a)</w:t>
            </w:r>
            <w:r>
              <w:t>*</w:t>
            </w:r>
          </w:p>
        </w:tc>
        <w:tc>
          <w:tcPr>
            <w:tcW w:w="3295" w:type="dxa"/>
            <w:tcBorders>
              <w:bottom w:val="single" w:sz="4" w:space="0" w:color="auto"/>
            </w:tcBorders>
          </w:tcPr>
          <w:p w14:paraId="28562F09" w14:textId="77777777" w:rsidR="005023B0" w:rsidRDefault="005023B0" w:rsidP="00631A9C">
            <w:r>
              <w:t>Nature of business</w:t>
            </w:r>
          </w:p>
          <w:p w14:paraId="0D57363A" w14:textId="77777777" w:rsidR="005023B0" w:rsidRDefault="005023B0" w:rsidP="00631A9C"/>
        </w:tc>
        <w:tc>
          <w:tcPr>
            <w:tcW w:w="5698" w:type="dxa"/>
            <w:tcBorders>
              <w:bottom w:val="single" w:sz="4" w:space="0" w:color="auto"/>
            </w:tcBorders>
          </w:tcPr>
          <w:p w14:paraId="65C80D42" w14:textId="1FF21DA7" w:rsidR="005023B0" w:rsidRDefault="6A5D9AFE" w:rsidP="3F9B0001">
            <w:r w:rsidRPr="3F9B0001">
              <w:t xml:space="preserve">Telecommunication   </w:t>
            </w:r>
          </w:p>
        </w:tc>
      </w:tr>
      <w:tr w:rsidR="00CF1E4A" w14:paraId="41C05E01" w14:textId="77777777" w:rsidTr="3F9B0001">
        <w:tc>
          <w:tcPr>
            <w:tcW w:w="924" w:type="dxa"/>
            <w:tcBorders>
              <w:bottom w:val="single" w:sz="4" w:space="0" w:color="auto"/>
            </w:tcBorders>
          </w:tcPr>
          <w:p w14:paraId="25890F2A" w14:textId="77777777" w:rsidR="00CF1E4A" w:rsidRDefault="00142A41" w:rsidP="00631A9C">
            <w:r>
              <w:t>5 (b)</w:t>
            </w:r>
          </w:p>
        </w:tc>
        <w:tc>
          <w:tcPr>
            <w:tcW w:w="3295" w:type="dxa"/>
            <w:tcBorders>
              <w:bottom w:val="single" w:sz="4" w:space="0" w:color="auto"/>
            </w:tcBorders>
          </w:tcPr>
          <w:p w14:paraId="16177555" w14:textId="77777777" w:rsidR="00CF1E4A" w:rsidRDefault="00142A41" w:rsidP="00631A9C">
            <w:r>
              <w:t xml:space="preserve">Type of </w:t>
            </w:r>
            <w:proofErr w:type="spellStart"/>
            <w:r>
              <w:t>Organisation</w:t>
            </w:r>
            <w:proofErr w:type="spellEnd"/>
            <w:r>
              <w:t xml:space="preserve"> </w:t>
            </w:r>
          </w:p>
          <w:p w14:paraId="1CFD04C3" w14:textId="77777777" w:rsidR="00142A41" w:rsidRDefault="00142A41" w:rsidP="00631A9C">
            <w:r>
              <w:t xml:space="preserve">(Pvt </w:t>
            </w:r>
            <w:r w:rsidRPr="00142A41">
              <w:t xml:space="preserve">industry, </w:t>
            </w:r>
            <w:r>
              <w:t xml:space="preserve">Association, </w:t>
            </w:r>
            <w:r w:rsidRPr="00142A41">
              <w:t>academia,</w:t>
            </w:r>
            <w:r>
              <w:t xml:space="preserve"> PSU,</w:t>
            </w:r>
            <w:r w:rsidRPr="00142A41">
              <w:t xml:space="preserve"> government departments</w:t>
            </w:r>
            <w:r>
              <w:t xml:space="preserve"> etc.)</w:t>
            </w:r>
          </w:p>
        </w:tc>
        <w:tc>
          <w:tcPr>
            <w:tcW w:w="5698" w:type="dxa"/>
            <w:tcBorders>
              <w:bottom w:val="single" w:sz="4" w:space="0" w:color="auto"/>
            </w:tcBorders>
          </w:tcPr>
          <w:p w14:paraId="31AC803C" w14:textId="4DD04418" w:rsidR="00CF1E4A" w:rsidRDefault="4E17FF05" w:rsidP="00631A9C">
            <w:r>
              <w:t xml:space="preserve">Industry </w:t>
            </w:r>
            <w:r w:rsidR="00414422">
              <w:t>Association</w:t>
            </w:r>
          </w:p>
        </w:tc>
      </w:tr>
      <w:tr w:rsidR="005023B0" w14:paraId="72E5F222" w14:textId="77777777" w:rsidTr="3F9B0001">
        <w:tc>
          <w:tcPr>
            <w:tcW w:w="924" w:type="dxa"/>
            <w:tcBorders>
              <w:top w:val="single" w:sz="4" w:space="0" w:color="auto"/>
              <w:left w:val="nil"/>
              <w:bottom w:val="single" w:sz="4" w:space="0" w:color="auto"/>
              <w:right w:val="nil"/>
            </w:tcBorders>
          </w:tcPr>
          <w:p w14:paraId="0BE32EE6" w14:textId="77777777" w:rsidR="005023B0" w:rsidRDefault="005023B0" w:rsidP="00631A9C">
            <w:pPr>
              <w:tabs>
                <w:tab w:val="left" w:pos="561"/>
              </w:tabs>
            </w:pPr>
          </w:p>
        </w:tc>
        <w:tc>
          <w:tcPr>
            <w:tcW w:w="3295" w:type="dxa"/>
            <w:tcBorders>
              <w:top w:val="single" w:sz="4" w:space="0" w:color="auto"/>
              <w:left w:val="nil"/>
              <w:bottom w:val="single" w:sz="4" w:space="0" w:color="auto"/>
              <w:right w:val="nil"/>
            </w:tcBorders>
          </w:tcPr>
          <w:p w14:paraId="258ADB90" w14:textId="77777777" w:rsidR="005023B0" w:rsidRDefault="005023B0" w:rsidP="00631A9C"/>
        </w:tc>
        <w:tc>
          <w:tcPr>
            <w:tcW w:w="5698" w:type="dxa"/>
            <w:tcBorders>
              <w:top w:val="single" w:sz="4" w:space="0" w:color="auto"/>
              <w:left w:val="nil"/>
              <w:bottom w:val="single" w:sz="4" w:space="0" w:color="auto"/>
              <w:right w:val="nil"/>
            </w:tcBorders>
          </w:tcPr>
          <w:p w14:paraId="5B15EB04" w14:textId="77777777" w:rsidR="005023B0" w:rsidRDefault="005023B0" w:rsidP="00631A9C"/>
        </w:tc>
      </w:tr>
      <w:tr w:rsidR="005023B0" w14:paraId="4BC00083" w14:textId="77777777" w:rsidTr="3F9B0001">
        <w:tc>
          <w:tcPr>
            <w:tcW w:w="924" w:type="dxa"/>
            <w:tcBorders>
              <w:top w:val="single" w:sz="4" w:space="0" w:color="auto"/>
            </w:tcBorders>
          </w:tcPr>
          <w:p w14:paraId="7A8701F4" w14:textId="77777777" w:rsidR="005023B0" w:rsidRDefault="005023B0" w:rsidP="00631A9C">
            <w:pPr>
              <w:tabs>
                <w:tab w:val="left" w:pos="561"/>
              </w:tabs>
            </w:pPr>
            <w:r>
              <w:t>6</w:t>
            </w:r>
            <w:r>
              <w:tab/>
            </w:r>
          </w:p>
        </w:tc>
        <w:tc>
          <w:tcPr>
            <w:tcW w:w="3295" w:type="dxa"/>
            <w:tcBorders>
              <w:top w:val="single" w:sz="4" w:space="0" w:color="auto"/>
            </w:tcBorders>
          </w:tcPr>
          <w:p w14:paraId="2862D45E" w14:textId="77777777" w:rsidR="005023B0" w:rsidRDefault="005023B0" w:rsidP="005023B0">
            <w:r>
              <w:t>Frequency band (kHz/MHz)</w:t>
            </w:r>
          </w:p>
        </w:tc>
        <w:tc>
          <w:tcPr>
            <w:tcW w:w="5698" w:type="dxa"/>
            <w:tcBorders>
              <w:top w:val="single" w:sz="4" w:space="0" w:color="auto"/>
            </w:tcBorders>
          </w:tcPr>
          <w:p w14:paraId="7279F52F" w14:textId="3AF3F892" w:rsidR="005023B0" w:rsidRDefault="00067441" w:rsidP="00631A9C">
            <w:r>
              <w:t xml:space="preserve">Parts of 174-230 MHz and </w:t>
            </w:r>
            <w:r w:rsidR="005E4FD4">
              <w:t>470-6</w:t>
            </w:r>
            <w:r w:rsidR="0096235A">
              <w:t xml:space="preserve">12 </w:t>
            </w:r>
            <w:r w:rsidR="005E4FD4">
              <w:t>MHz</w:t>
            </w:r>
          </w:p>
        </w:tc>
      </w:tr>
      <w:tr w:rsidR="005023B0" w14:paraId="0CF81D2A" w14:textId="77777777" w:rsidTr="3F9B0001">
        <w:tc>
          <w:tcPr>
            <w:tcW w:w="924" w:type="dxa"/>
          </w:tcPr>
          <w:p w14:paraId="1FE085EC" w14:textId="77777777" w:rsidR="005023B0" w:rsidRDefault="005023B0" w:rsidP="00631A9C">
            <w:r>
              <w:t>7*</w:t>
            </w:r>
          </w:p>
        </w:tc>
        <w:tc>
          <w:tcPr>
            <w:tcW w:w="3295" w:type="dxa"/>
          </w:tcPr>
          <w:p w14:paraId="037E6A88" w14:textId="77777777" w:rsidR="005023B0" w:rsidRDefault="005023B0" w:rsidP="00631A9C">
            <w:r>
              <w:t>Applications of service</w:t>
            </w:r>
          </w:p>
          <w:p w14:paraId="23C994F0" w14:textId="77777777" w:rsidR="005023B0" w:rsidRDefault="005023B0" w:rsidP="00631A9C"/>
        </w:tc>
        <w:tc>
          <w:tcPr>
            <w:tcW w:w="5698" w:type="dxa"/>
          </w:tcPr>
          <w:p w14:paraId="07637124" w14:textId="266D3C6F" w:rsidR="005023B0" w:rsidRDefault="00435A2A" w:rsidP="00631A9C">
            <w:r>
              <w:t xml:space="preserve">Professional wireless audio </w:t>
            </w:r>
            <w:r w:rsidR="00B53A68">
              <w:t xml:space="preserve">devices </w:t>
            </w:r>
            <w:r>
              <w:t>(wireless microphone systems, In-Ear monitoring systems</w:t>
            </w:r>
            <w:proofErr w:type="gramStart"/>
            <w:r w:rsidR="006C1B57">
              <w:t>.</w:t>
            </w:r>
            <w:r>
              <w:t>.</w:t>
            </w:r>
            <w:r w:rsidR="006C1B57">
              <w:t>.,</w:t>
            </w:r>
            <w:r w:rsidR="00B53A68">
              <w:t>etc.</w:t>
            </w:r>
            <w:proofErr w:type="gramEnd"/>
            <w:r>
              <w:t>)</w:t>
            </w:r>
            <w:r w:rsidR="00B53A68">
              <w:t xml:space="preserve"> used in Program</w:t>
            </w:r>
            <w:r w:rsidR="00197DA9">
              <w:t>me</w:t>
            </w:r>
            <w:r w:rsidR="00B53A68">
              <w:t xml:space="preserve"> Making and Special Events (PMSE) applications.</w:t>
            </w:r>
          </w:p>
        </w:tc>
      </w:tr>
      <w:tr w:rsidR="005023B0" w14:paraId="7068E04C" w14:textId="77777777" w:rsidTr="3F9B0001">
        <w:tc>
          <w:tcPr>
            <w:tcW w:w="924" w:type="dxa"/>
          </w:tcPr>
          <w:p w14:paraId="258398BF" w14:textId="77777777" w:rsidR="005023B0" w:rsidRDefault="005023B0" w:rsidP="00631A9C">
            <w:r>
              <w:t>8</w:t>
            </w:r>
          </w:p>
        </w:tc>
        <w:tc>
          <w:tcPr>
            <w:tcW w:w="3295" w:type="dxa"/>
          </w:tcPr>
          <w:p w14:paraId="44878B9D" w14:textId="77777777" w:rsidR="005023B0" w:rsidRDefault="005023B0" w:rsidP="00631A9C">
            <w:r>
              <w:t>Minimum &amp; Maximum power with unit</w:t>
            </w:r>
          </w:p>
        </w:tc>
        <w:tc>
          <w:tcPr>
            <w:tcW w:w="5698" w:type="dxa"/>
          </w:tcPr>
          <w:p w14:paraId="412A893A" w14:textId="560ACE19" w:rsidR="005023B0" w:rsidRDefault="00D03C73" w:rsidP="00631A9C">
            <w:r>
              <w:t>Max: 50</w:t>
            </w:r>
            <w:r w:rsidR="007A1A3F">
              <w:t>mW ERP</w:t>
            </w:r>
            <w:r w:rsidR="008A22D8">
              <w:t xml:space="preserve"> for Narrowband systems</w:t>
            </w:r>
          </w:p>
          <w:p w14:paraId="1F03D0AB" w14:textId="74155BE7" w:rsidR="008A22D8" w:rsidRDefault="008A22D8" w:rsidP="00631A9C">
            <w:r>
              <w:t>Max: 100mW EIRP</w:t>
            </w:r>
            <w:r w:rsidR="006A2569">
              <w:t>/</w:t>
            </w:r>
            <w:r w:rsidR="00175A1E">
              <w:t>85mW ERP</w:t>
            </w:r>
            <w:r>
              <w:t xml:space="preserve"> for Wideband systems</w:t>
            </w:r>
          </w:p>
        </w:tc>
      </w:tr>
      <w:tr w:rsidR="005023B0" w14:paraId="6A109427" w14:textId="77777777" w:rsidTr="3F9B0001">
        <w:trPr>
          <w:trHeight w:val="790"/>
        </w:trPr>
        <w:tc>
          <w:tcPr>
            <w:tcW w:w="924" w:type="dxa"/>
          </w:tcPr>
          <w:p w14:paraId="0271BBF3" w14:textId="77777777" w:rsidR="005023B0" w:rsidRDefault="005023B0" w:rsidP="00631A9C">
            <w:r>
              <w:t>9</w:t>
            </w:r>
          </w:p>
        </w:tc>
        <w:tc>
          <w:tcPr>
            <w:tcW w:w="3295" w:type="dxa"/>
          </w:tcPr>
          <w:p w14:paraId="604401F6" w14:textId="77777777" w:rsidR="005023B0" w:rsidRDefault="005023B0" w:rsidP="00631A9C">
            <w:r>
              <w:t>Purpose</w:t>
            </w:r>
          </w:p>
        </w:tc>
        <w:tc>
          <w:tcPr>
            <w:tcW w:w="5698" w:type="dxa"/>
          </w:tcPr>
          <w:p w14:paraId="5AB847BD" w14:textId="77777777" w:rsidR="00396ABA" w:rsidRDefault="00F035D9" w:rsidP="001B6EF2">
            <w:pPr>
              <w:jc w:val="both"/>
            </w:pPr>
            <w:r>
              <w:t xml:space="preserve">PMSE applications serve a variety of critical roles in the production of media, entertainment, and public events. </w:t>
            </w:r>
          </w:p>
          <w:p w14:paraId="7940CAD8" w14:textId="07E5B414" w:rsidR="00F035D9" w:rsidRDefault="00F035D9" w:rsidP="001B6EF2">
            <w:pPr>
              <w:jc w:val="both"/>
            </w:pPr>
            <w:r>
              <w:t>Here are some key purposes and use cases of PMSE applications:</w:t>
            </w:r>
          </w:p>
          <w:p w14:paraId="66B093EB" w14:textId="1C3002AF" w:rsidR="006A27C4" w:rsidRPr="009254C7" w:rsidRDefault="00E26666" w:rsidP="00290CC0">
            <w:pPr>
              <w:pStyle w:val="ListParagraph"/>
              <w:numPr>
                <w:ilvl w:val="0"/>
                <w:numId w:val="7"/>
              </w:numPr>
              <w:jc w:val="both"/>
            </w:pPr>
            <w:r w:rsidRPr="009F30FA">
              <w:rPr>
                <w:b/>
                <w:bCs/>
              </w:rPr>
              <w:t>Live Events:</w:t>
            </w:r>
            <w:r>
              <w:t xml:space="preserve"> Concerts and Festivals</w:t>
            </w:r>
            <w:r w:rsidR="00213D6A">
              <w:t xml:space="preserve"> (musical, sports, religious), </w:t>
            </w:r>
            <w:r>
              <w:t>Conferences and Corporate Events</w:t>
            </w:r>
            <w:r w:rsidR="009F30FA">
              <w:t>.</w:t>
            </w:r>
          </w:p>
          <w:p w14:paraId="2153AB9D" w14:textId="0A3828B3" w:rsidR="00F035D9" w:rsidRDefault="00F035D9" w:rsidP="001B6EF2">
            <w:pPr>
              <w:pStyle w:val="ListParagraph"/>
              <w:numPr>
                <w:ilvl w:val="0"/>
                <w:numId w:val="7"/>
              </w:numPr>
              <w:jc w:val="both"/>
            </w:pPr>
            <w:r w:rsidRPr="009F30FA">
              <w:rPr>
                <w:b/>
                <w:bCs/>
              </w:rPr>
              <w:t>Broadcasting:</w:t>
            </w:r>
            <w:r>
              <w:t xml:space="preserve"> Live Television Production, Studio Production</w:t>
            </w:r>
            <w:r w:rsidR="00E26666">
              <w:t xml:space="preserve">. </w:t>
            </w:r>
          </w:p>
          <w:p w14:paraId="70A8A5B4" w14:textId="2AC9C3E3" w:rsidR="007F3B45" w:rsidRPr="001B6EF2" w:rsidRDefault="009B3D19" w:rsidP="001B6EF2">
            <w:pPr>
              <w:pStyle w:val="ListParagraph"/>
              <w:numPr>
                <w:ilvl w:val="0"/>
                <w:numId w:val="7"/>
              </w:numPr>
              <w:jc w:val="both"/>
              <w:rPr>
                <w:b/>
                <w:bCs/>
              </w:rPr>
            </w:pPr>
            <w:r w:rsidRPr="009F30FA">
              <w:rPr>
                <w:b/>
                <w:bCs/>
              </w:rPr>
              <w:t xml:space="preserve">Film and Video Production: </w:t>
            </w:r>
            <w:r>
              <w:t>Location Sound Recording</w:t>
            </w:r>
            <w:r w:rsidR="00BD6282">
              <w:t>.</w:t>
            </w:r>
          </w:p>
          <w:p w14:paraId="42829676" w14:textId="4E082A31" w:rsidR="00F035D9" w:rsidRDefault="00F035D9" w:rsidP="001B6EF2">
            <w:pPr>
              <w:pStyle w:val="ListParagraph"/>
              <w:numPr>
                <w:ilvl w:val="0"/>
                <w:numId w:val="7"/>
              </w:numPr>
              <w:jc w:val="both"/>
            </w:pPr>
            <w:r w:rsidRPr="009F30FA">
              <w:rPr>
                <w:b/>
                <w:bCs/>
              </w:rPr>
              <w:t>Theater and Performing Arts</w:t>
            </w:r>
            <w:r w:rsidR="009B3D19" w:rsidRPr="009F30FA">
              <w:rPr>
                <w:b/>
                <w:bCs/>
              </w:rPr>
              <w:t>:</w:t>
            </w:r>
            <w:r w:rsidR="009F30FA">
              <w:t xml:space="preserve"> </w:t>
            </w:r>
            <w:r>
              <w:t>Stage Productions</w:t>
            </w:r>
            <w:r w:rsidR="009F30FA">
              <w:t xml:space="preserve">, </w:t>
            </w:r>
            <w:r>
              <w:t>Musical Performances</w:t>
            </w:r>
            <w:r w:rsidR="009F30FA">
              <w:t>.</w:t>
            </w:r>
          </w:p>
          <w:p w14:paraId="337906C5" w14:textId="3A54160B" w:rsidR="00F035D9" w:rsidRPr="009F30FA" w:rsidRDefault="00F035D9" w:rsidP="001B6EF2">
            <w:pPr>
              <w:pStyle w:val="ListParagraph"/>
              <w:numPr>
                <w:ilvl w:val="0"/>
                <w:numId w:val="7"/>
              </w:numPr>
              <w:jc w:val="both"/>
              <w:rPr>
                <w:b/>
                <w:bCs/>
              </w:rPr>
            </w:pPr>
            <w:r w:rsidRPr="009F30FA">
              <w:rPr>
                <w:b/>
                <w:bCs/>
              </w:rPr>
              <w:t>Documentaries and News Gathering</w:t>
            </w:r>
          </w:p>
          <w:p w14:paraId="6B416651" w14:textId="3F355979" w:rsidR="00F035D9" w:rsidRDefault="00F035D9" w:rsidP="001B6EF2">
            <w:pPr>
              <w:pStyle w:val="ListParagraph"/>
              <w:numPr>
                <w:ilvl w:val="0"/>
                <w:numId w:val="7"/>
              </w:numPr>
              <w:jc w:val="both"/>
            </w:pPr>
            <w:r w:rsidRPr="009F30FA">
              <w:rPr>
                <w:b/>
                <w:bCs/>
              </w:rPr>
              <w:t>Religious and Educational Institutions:</w:t>
            </w:r>
            <w:r w:rsidR="009F30FA">
              <w:t xml:space="preserve"> </w:t>
            </w:r>
            <w:r>
              <w:t>Houses of Worship</w:t>
            </w:r>
            <w:r w:rsidR="009F30FA">
              <w:t xml:space="preserve">, </w:t>
            </w:r>
            <w:r>
              <w:t>Educational Institutions</w:t>
            </w:r>
            <w:r w:rsidR="00BD6282">
              <w:t>.</w:t>
            </w:r>
          </w:p>
          <w:p w14:paraId="519C8DFE" w14:textId="7CB65956" w:rsidR="0034626C" w:rsidRDefault="00F035D9" w:rsidP="001B6EF2">
            <w:pPr>
              <w:pStyle w:val="ListParagraph"/>
              <w:numPr>
                <w:ilvl w:val="0"/>
                <w:numId w:val="6"/>
              </w:numPr>
              <w:jc w:val="both"/>
            </w:pPr>
            <w:r w:rsidRPr="009F30FA">
              <w:rPr>
                <w:b/>
                <w:bCs/>
              </w:rPr>
              <w:t>Cultural and Community Events</w:t>
            </w:r>
            <w:r>
              <w:t>:</w:t>
            </w:r>
            <w:r w:rsidR="009F30FA">
              <w:t xml:space="preserve"> </w:t>
            </w:r>
            <w:r>
              <w:t>Parades and Festivals</w:t>
            </w:r>
            <w:r w:rsidR="009F30FA">
              <w:t xml:space="preserve">, </w:t>
            </w:r>
            <w:r>
              <w:t>Ceremonies and Celebrations</w:t>
            </w:r>
            <w:r w:rsidR="00BD6282">
              <w:t>.</w:t>
            </w:r>
          </w:p>
          <w:p w14:paraId="22F3C82C" w14:textId="50C83BD4" w:rsidR="0034626C" w:rsidRDefault="0034626C" w:rsidP="001B6EF2">
            <w:pPr>
              <w:jc w:val="both"/>
            </w:pPr>
            <w:r w:rsidRPr="001B6EF2">
              <w:t xml:space="preserve">The socio-economic contribution of PMSE to India's economic and cultural life is substantial. By supporting job creation, industry growth, cultural preservation, and technological innovation, PMSE plays a vital role in enhancing the quality of life and promoting India's rich </w:t>
            </w:r>
            <w:r w:rsidRPr="001B6EF2">
              <w:lastRenderedPageBreak/>
              <w:t>cultural heritage. As the demand for high-quality audio and video technology continues to grow, the PMSE sector will remain a key driver of economic and cultural development in India.</w:t>
            </w:r>
          </w:p>
          <w:p w14:paraId="2C0C2C69" w14:textId="7DCA23AC" w:rsidR="005023B0" w:rsidRDefault="005023B0" w:rsidP="001B6EF2">
            <w:pPr>
              <w:jc w:val="both"/>
            </w:pPr>
          </w:p>
        </w:tc>
      </w:tr>
      <w:tr w:rsidR="005023B0" w:rsidRPr="00481EBE" w14:paraId="00504723" w14:textId="77777777" w:rsidTr="3F9B0001">
        <w:tc>
          <w:tcPr>
            <w:tcW w:w="924" w:type="dxa"/>
          </w:tcPr>
          <w:p w14:paraId="19109E79" w14:textId="77777777" w:rsidR="005023B0" w:rsidRDefault="005023B0" w:rsidP="00631A9C">
            <w:r>
              <w:lastRenderedPageBreak/>
              <w:t>10 (a)</w:t>
            </w:r>
          </w:p>
        </w:tc>
        <w:tc>
          <w:tcPr>
            <w:tcW w:w="3295" w:type="dxa"/>
          </w:tcPr>
          <w:p w14:paraId="2D9C3690" w14:textId="77777777" w:rsidR="005023B0" w:rsidRDefault="005023B0" w:rsidP="00631A9C">
            <w:r>
              <w:t>Countries in which similar applications are used along with web link (if known)</w:t>
            </w:r>
          </w:p>
        </w:tc>
        <w:tc>
          <w:tcPr>
            <w:tcW w:w="5698" w:type="dxa"/>
          </w:tcPr>
          <w:p w14:paraId="476B05E3" w14:textId="714352C0" w:rsidR="005023B0" w:rsidRDefault="007A1A3F" w:rsidP="0001715C">
            <w:pPr>
              <w:pStyle w:val="ListParagraph"/>
              <w:numPr>
                <w:ilvl w:val="0"/>
                <w:numId w:val="5"/>
              </w:numPr>
            </w:pPr>
            <w:r>
              <w:t>ITU-R Region 1, countries listed under footnote 5.296</w:t>
            </w:r>
            <w:r w:rsidR="0001715C">
              <w:t>, example:</w:t>
            </w:r>
          </w:p>
          <w:p w14:paraId="0498F555" w14:textId="27CCEF00" w:rsidR="003D2FA0" w:rsidRPr="00481EBE" w:rsidRDefault="0724DC6D" w:rsidP="0001715C">
            <w:pPr>
              <w:pStyle w:val="ListParagraph"/>
              <w:numPr>
                <w:ilvl w:val="1"/>
                <w:numId w:val="5"/>
              </w:numPr>
            </w:pPr>
            <w:r>
              <w:t xml:space="preserve">CEPT: </w:t>
            </w:r>
            <w:hyperlink r:id="rId10">
              <w:r w:rsidRPr="61A6DDB7">
                <w:rPr>
                  <w:rStyle w:val="Hyperlink"/>
                </w:rPr>
                <w:t>ERC</w:t>
              </w:r>
              <w:r w:rsidR="27CB34FF" w:rsidRPr="61A6DDB7">
                <w:rPr>
                  <w:rStyle w:val="Hyperlink"/>
                </w:rPr>
                <w:t xml:space="preserve"> Recommendation 70-03</w:t>
              </w:r>
            </w:hyperlink>
            <w:r w:rsidR="2D861024">
              <w:t xml:space="preserve"> and </w:t>
            </w:r>
            <w:hyperlink r:id="rId11" w:history="1">
              <w:r w:rsidR="2D861024" w:rsidRPr="61A6DDB7">
                <w:rPr>
                  <w:rStyle w:val="Hyperlink"/>
                </w:rPr>
                <w:t>ERC Recommendation 25-10</w:t>
              </w:r>
            </w:hyperlink>
          </w:p>
          <w:p w14:paraId="7ADC635F" w14:textId="5964A19D" w:rsidR="00435A2A" w:rsidRDefault="00250100" w:rsidP="0001715C">
            <w:pPr>
              <w:pStyle w:val="ListParagraph"/>
              <w:numPr>
                <w:ilvl w:val="1"/>
                <w:numId w:val="5"/>
              </w:numPr>
            </w:pPr>
            <w:r w:rsidRPr="00481EBE">
              <w:t>UK, Ofcom:</w:t>
            </w:r>
            <w:hyperlink r:id="rId12" w:anchor=":~:text=If%20you%20are%20using%20wireless,with%20a%20performance%20or%20event." w:history="1">
              <w:r w:rsidRPr="00481EBE">
                <w:rPr>
                  <w:rStyle w:val="Hyperlink"/>
                </w:rPr>
                <w:t xml:space="preserve"> </w:t>
              </w:r>
              <w:r w:rsidR="001103CA" w:rsidRPr="00481EBE">
                <w:rPr>
                  <w:rStyle w:val="Hyperlink"/>
                </w:rPr>
                <w:t>PMSE</w:t>
              </w:r>
            </w:hyperlink>
          </w:p>
          <w:p w14:paraId="76452546" w14:textId="77777777" w:rsidR="007A1A3F" w:rsidRDefault="0001715C" w:rsidP="00631A9C">
            <w:pPr>
              <w:pStyle w:val="ListParagraph"/>
              <w:numPr>
                <w:ilvl w:val="0"/>
                <w:numId w:val="5"/>
              </w:numPr>
            </w:pPr>
            <w:r w:rsidRPr="007A1726">
              <w:t>USA, FCC:</w:t>
            </w:r>
            <w:r>
              <w:t xml:space="preserve"> </w:t>
            </w:r>
            <w:hyperlink r:id="rId13" w:history="1">
              <w:r w:rsidRPr="00250100">
                <w:rPr>
                  <w:rStyle w:val="Hyperlink"/>
                </w:rPr>
                <w:t>Part 74</w:t>
              </w:r>
            </w:hyperlink>
            <w:r w:rsidRPr="007A1726">
              <w:t xml:space="preserve"> </w:t>
            </w:r>
            <w:r>
              <w:t>,</w:t>
            </w:r>
            <w:hyperlink r:id="rId14" w:history="1">
              <w:r w:rsidRPr="007A1726">
                <w:rPr>
                  <w:rStyle w:val="Hyperlink"/>
                </w:rPr>
                <w:t>Wireless Microphones</w:t>
              </w:r>
            </w:hyperlink>
            <w:r>
              <w:t xml:space="preserve"> </w:t>
            </w:r>
          </w:p>
          <w:p w14:paraId="5CE60B67" w14:textId="418A6B5A" w:rsidR="000E6D45" w:rsidRPr="00481EBE" w:rsidRDefault="000E6D45" w:rsidP="000E6D45">
            <w:pPr>
              <w:pStyle w:val="ListParagraph"/>
            </w:pPr>
          </w:p>
        </w:tc>
      </w:tr>
      <w:tr w:rsidR="005023B0" w14:paraId="26ED2338" w14:textId="77777777" w:rsidTr="3F9B0001">
        <w:tc>
          <w:tcPr>
            <w:tcW w:w="924" w:type="dxa"/>
          </w:tcPr>
          <w:p w14:paraId="22C5BF97" w14:textId="77777777" w:rsidR="005023B0" w:rsidRDefault="005023B0" w:rsidP="00631A9C">
            <w:pPr>
              <w:tabs>
                <w:tab w:val="left" w:pos="468"/>
              </w:tabs>
              <w:jc w:val="both"/>
            </w:pPr>
            <w:r>
              <w:t>10 (b)</w:t>
            </w:r>
          </w:p>
        </w:tc>
        <w:tc>
          <w:tcPr>
            <w:tcW w:w="3295" w:type="dxa"/>
          </w:tcPr>
          <w:p w14:paraId="1753CE57" w14:textId="77777777" w:rsidR="005023B0" w:rsidRDefault="005023B0" w:rsidP="00631A9C">
            <w:r>
              <w:t>Provisions in frequency allocation table along with footnote of the country along with web link (if known)</w:t>
            </w:r>
          </w:p>
        </w:tc>
        <w:tc>
          <w:tcPr>
            <w:tcW w:w="5698" w:type="dxa"/>
          </w:tcPr>
          <w:p w14:paraId="248538F4" w14:textId="20AE6BA0" w:rsidR="00435A2A" w:rsidRDefault="00435A2A" w:rsidP="00435A2A">
            <w:r>
              <w:t>ITU-R Region 1 under footnote 5.296</w:t>
            </w:r>
            <w:r w:rsidR="007A1A3F">
              <w:t>.</w:t>
            </w:r>
          </w:p>
          <w:p w14:paraId="5E639870" w14:textId="77777777" w:rsidR="007A1A3F" w:rsidRDefault="007A1A3F" w:rsidP="00435A2A"/>
          <w:p w14:paraId="2696BE6A" w14:textId="040075A8" w:rsidR="007A1A3F" w:rsidRDefault="007A1A3F" w:rsidP="00435A2A">
            <w:r w:rsidRPr="007A1A3F">
              <w:t>Individual countries may have their own specific regulations and footnotes that further define the use of wireless microphones and audio PMSE equipment. These national regulations can vary widely and may include additional technical and operational requirements.</w:t>
            </w:r>
          </w:p>
          <w:p w14:paraId="051F903D" w14:textId="77777777" w:rsidR="005023B0" w:rsidRDefault="005023B0" w:rsidP="00631A9C"/>
        </w:tc>
      </w:tr>
      <w:tr w:rsidR="005023B0" w14:paraId="59B85CBE" w14:textId="77777777" w:rsidTr="3F9B0001">
        <w:tc>
          <w:tcPr>
            <w:tcW w:w="924" w:type="dxa"/>
          </w:tcPr>
          <w:p w14:paraId="726CD184" w14:textId="77777777" w:rsidR="005023B0" w:rsidRDefault="005023B0" w:rsidP="00631A9C">
            <w:pPr>
              <w:tabs>
                <w:tab w:val="left" w:pos="468"/>
              </w:tabs>
              <w:jc w:val="both"/>
            </w:pPr>
            <w:r>
              <w:t>11</w:t>
            </w:r>
          </w:p>
        </w:tc>
        <w:tc>
          <w:tcPr>
            <w:tcW w:w="3295" w:type="dxa"/>
          </w:tcPr>
          <w:p w14:paraId="53AE9B4E" w14:textId="77777777" w:rsidR="005023B0" w:rsidRDefault="005023B0" w:rsidP="00631A9C">
            <w:r>
              <w:t>Radio Regulations provisions (if known)</w:t>
            </w:r>
          </w:p>
        </w:tc>
        <w:tc>
          <w:tcPr>
            <w:tcW w:w="5698" w:type="dxa"/>
          </w:tcPr>
          <w:p w14:paraId="6C88DDF8" w14:textId="3665BA3A" w:rsidR="005023B0" w:rsidRDefault="007A1A3F" w:rsidP="00631A9C">
            <w:r w:rsidRPr="007A1A3F">
              <w:t>Wireless microphones and PMSE devices operate under the land mobile service category as a secondary service in 470-694MHz band. Services allocated on a secondary allocation basis must not cause harmful interference to primary services and cannot claim protection from interference caused by primary services.</w:t>
            </w:r>
          </w:p>
        </w:tc>
      </w:tr>
      <w:tr w:rsidR="009C76AD" w14:paraId="01496A16" w14:textId="77777777" w:rsidTr="3F9B0001">
        <w:tc>
          <w:tcPr>
            <w:tcW w:w="924" w:type="dxa"/>
          </w:tcPr>
          <w:p w14:paraId="10CAC35D" w14:textId="77777777" w:rsidR="009C76AD" w:rsidRDefault="009C76AD" w:rsidP="00631A9C">
            <w:pPr>
              <w:tabs>
                <w:tab w:val="left" w:pos="468"/>
              </w:tabs>
              <w:jc w:val="both"/>
            </w:pPr>
            <w:r>
              <w:t>12*</w:t>
            </w:r>
          </w:p>
        </w:tc>
        <w:tc>
          <w:tcPr>
            <w:tcW w:w="3295" w:type="dxa"/>
          </w:tcPr>
          <w:p w14:paraId="4DB56E32" w14:textId="77777777" w:rsidR="009C76AD" w:rsidRDefault="009C76AD" w:rsidP="00631A9C">
            <w:r>
              <w:t>Type of Radiocommunication service</w:t>
            </w:r>
          </w:p>
        </w:tc>
        <w:tc>
          <w:tcPr>
            <w:tcW w:w="5698" w:type="dxa"/>
          </w:tcPr>
          <w:p w14:paraId="445162D5" w14:textId="1A1ED48F" w:rsidR="009C76AD" w:rsidRDefault="005E4FD4" w:rsidP="00631A9C">
            <w:r>
              <w:t>Land mobile</w:t>
            </w:r>
            <w:r w:rsidR="004D60BD">
              <w:t xml:space="preserve"> service</w:t>
            </w:r>
          </w:p>
        </w:tc>
      </w:tr>
      <w:tr w:rsidR="00FC6CC0" w:rsidRPr="007A1A3F" w14:paraId="385F3C01" w14:textId="77777777" w:rsidTr="3F9B0001">
        <w:trPr>
          <w:trHeight w:val="708"/>
        </w:trPr>
        <w:tc>
          <w:tcPr>
            <w:tcW w:w="924" w:type="dxa"/>
          </w:tcPr>
          <w:p w14:paraId="78778643" w14:textId="77777777" w:rsidR="00FC6CC0" w:rsidRDefault="00FC6CC0" w:rsidP="00631A9C">
            <w:r>
              <w:t>13</w:t>
            </w:r>
          </w:p>
        </w:tc>
        <w:tc>
          <w:tcPr>
            <w:tcW w:w="3295" w:type="dxa"/>
          </w:tcPr>
          <w:p w14:paraId="1C66A1FE" w14:textId="77777777" w:rsidR="00FC6CC0" w:rsidRDefault="00FC6CC0" w:rsidP="00631A9C">
            <w:proofErr w:type="gramStart"/>
            <w:r>
              <w:t>Combatable  Wireless</w:t>
            </w:r>
            <w:proofErr w:type="gramEnd"/>
            <w:r>
              <w:t xml:space="preserve"> Standard for the device likely to work in the proposed band  ( ETSI, 3GPP, IEEE, EC, FCC ,TEC </w:t>
            </w:r>
            <w:proofErr w:type="spellStart"/>
            <w:r>
              <w:t>etc</w:t>
            </w:r>
            <w:proofErr w:type="spellEnd"/>
            <w:r>
              <w:t xml:space="preserve"> or any proprietary standard) </w:t>
            </w:r>
          </w:p>
        </w:tc>
        <w:tc>
          <w:tcPr>
            <w:tcW w:w="5698" w:type="dxa"/>
          </w:tcPr>
          <w:p w14:paraId="286150A3" w14:textId="138498B0" w:rsidR="00B53A68" w:rsidRPr="007A1A3F" w:rsidRDefault="00000000" w:rsidP="00631A9C">
            <w:pPr>
              <w:rPr>
                <w:lang w:val="de-DE"/>
              </w:rPr>
            </w:pPr>
            <w:hyperlink r:id="rId15" w:history="1">
              <w:r w:rsidR="00B53A68" w:rsidRPr="003A297E">
                <w:rPr>
                  <w:rStyle w:val="Hyperlink"/>
                  <w:lang w:val="de-DE"/>
                </w:rPr>
                <w:t xml:space="preserve">ETSI </w:t>
              </w:r>
              <w:r w:rsidR="006C1B57" w:rsidRPr="003A297E">
                <w:rPr>
                  <w:rStyle w:val="Hyperlink"/>
                  <w:lang w:val="de-DE"/>
                </w:rPr>
                <w:t>EN 300 422</w:t>
              </w:r>
            </w:hyperlink>
          </w:p>
        </w:tc>
      </w:tr>
      <w:tr w:rsidR="005023B0" w14:paraId="62214EEB" w14:textId="77777777" w:rsidTr="3F9B0001">
        <w:trPr>
          <w:trHeight w:val="708"/>
        </w:trPr>
        <w:tc>
          <w:tcPr>
            <w:tcW w:w="924" w:type="dxa"/>
          </w:tcPr>
          <w:p w14:paraId="388DD472" w14:textId="77777777" w:rsidR="005023B0" w:rsidRDefault="00FC6CC0" w:rsidP="00631A9C">
            <w:r>
              <w:t>14</w:t>
            </w:r>
          </w:p>
        </w:tc>
        <w:tc>
          <w:tcPr>
            <w:tcW w:w="3295" w:type="dxa"/>
          </w:tcPr>
          <w:p w14:paraId="341BEA56" w14:textId="77777777" w:rsidR="005023B0" w:rsidRDefault="005023B0" w:rsidP="00631A9C">
            <w:r>
              <w:t>Benefit for public</w:t>
            </w:r>
          </w:p>
        </w:tc>
        <w:tc>
          <w:tcPr>
            <w:tcW w:w="5698" w:type="dxa"/>
          </w:tcPr>
          <w:p w14:paraId="4C754163" w14:textId="4B70E909" w:rsidR="004909E7" w:rsidRDefault="00B53A68" w:rsidP="00B53A68">
            <w:pPr>
              <w:pStyle w:val="ListParagraph"/>
              <w:numPr>
                <w:ilvl w:val="0"/>
                <w:numId w:val="4"/>
              </w:numPr>
            </w:pPr>
            <w:r>
              <w:t xml:space="preserve">Enhanced audio quality: </w:t>
            </w:r>
            <w:r w:rsidR="004909E7" w:rsidRPr="004909E7">
              <w:t xml:space="preserve">Dedicated spectrum allocation will ensure high-quality, interference-free audio for various </w:t>
            </w:r>
            <w:r>
              <w:t xml:space="preserve">professional audio </w:t>
            </w:r>
            <w:r w:rsidR="004909E7" w:rsidRPr="004909E7">
              <w:t>applications</w:t>
            </w:r>
            <w:r>
              <w:t xml:space="preserve">. </w:t>
            </w:r>
          </w:p>
          <w:p w14:paraId="6F99CFCC" w14:textId="158014E7" w:rsidR="005023B0" w:rsidRDefault="004909E7" w:rsidP="00631A9C">
            <w:pPr>
              <w:pStyle w:val="ListParagraph"/>
              <w:numPr>
                <w:ilvl w:val="0"/>
                <w:numId w:val="4"/>
              </w:numPr>
            </w:pPr>
            <w:r w:rsidRPr="004909E7">
              <w:t xml:space="preserve">Support for </w:t>
            </w:r>
            <w:r w:rsidR="00B53A68">
              <w:t>c</w:t>
            </w:r>
            <w:r w:rsidRPr="004909E7">
              <w:t xml:space="preserve">reative </w:t>
            </w:r>
            <w:r w:rsidR="00B53A68">
              <w:t>i</w:t>
            </w:r>
            <w:r w:rsidRPr="004909E7">
              <w:t>ndustries: This will provide a stable and predictable spectrum environment, fostering growth and innovation in the</w:t>
            </w:r>
            <w:r w:rsidR="00B53A68">
              <w:t xml:space="preserve"> audio</w:t>
            </w:r>
            <w:r>
              <w:t xml:space="preserve"> </w:t>
            </w:r>
            <w:r w:rsidR="00B53A68">
              <w:t>PMSE industry in India.</w:t>
            </w:r>
          </w:p>
          <w:p w14:paraId="087BAE0C" w14:textId="77777777" w:rsidR="00B53A68" w:rsidRDefault="00B53A68" w:rsidP="00631A9C">
            <w:pPr>
              <w:pStyle w:val="ListParagraph"/>
              <w:numPr>
                <w:ilvl w:val="0"/>
                <w:numId w:val="4"/>
              </w:numPr>
            </w:pPr>
            <w:r w:rsidRPr="00B53A68">
              <w:t>Economic Contribution: The audio PMSE sector supports a wide range of jobs, from equipment manufacturing to event production, contributing significantly to the economy</w:t>
            </w:r>
            <w:r>
              <w:t xml:space="preserve"> of India</w:t>
            </w:r>
            <w:r w:rsidRPr="00B53A68">
              <w:t>.</w:t>
            </w:r>
          </w:p>
          <w:p w14:paraId="2DF9C5AD" w14:textId="30B73C34" w:rsidR="00B53A68" w:rsidRDefault="00B53A68" w:rsidP="0021120D">
            <w:pPr>
              <w:pStyle w:val="ListParagraph"/>
              <w:numPr>
                <w:ilvl w:val="0"/>
                <w:numId w:val="4"/>
              </w:numPr>
            </w:pPr>
            <w:r w:rsidRPr="00B53A68">
              <w:t xml:space="preserve">Cultural Impact: High-quality audio is essential for the success of cultural and entertainment events, which in turn enhance the cultural fabric of the nation. </w:t>
            </w:r>
          </w:p>
        </w:tc>
      </w:tr>
      <w:tr w:rsidR="005023B0" w14:paraId="6E524749" w14:textId="77777777" w:rsidTr="3F9B0001">
        <w:tc>
          <w:tcPr>
            <w:tcW w:w="924" w:type="dxa"/>
          </w:tcPr>
          <w:p w14:paraId="32DD7BBE" w14:textId="77777777" w:rsidR="005023B0" w:rsidRDefault="00FC6CC0" w:rsidP="00631A9C">
            <w:r>
              <w:lastRenderedPageBreak/>
              <w:t>15</w:t>
            </w:r>
          </w:p>
        </w:tc>
        <w:tc>
          <w:tcPr>
            <w:tcW w:w="3295" w:type="dxa"/>
          </w:tcPr>
          <w:p w14:paraId="75E0F0DA" w14:textId="37708EEF" w:rsidR="005023B0" w:rsidRDefault="005023B0" w:rsidP="00A316BE">
            <w:r>
              <w:t>If modification in NFAP-20</w:t>
            </w:r>
            <w:r w:rsidR="00A316BE">
              <w:t>22</w:t>
            </w:r>
            <w:r>
              <w:t xml:space="preserve"> </w:t>
            </w:r>
            <w:proofErr w:type="gramStart"/>
            <w:r>
              <w:t>footnote</w:t>
            </w:r>
            <w:proofErr w:type="gramEnd"/>
            <w:r>
              <w:t xml:space="preserve"> then quote relevant footnote no. of NFAP-</w:t>
            </w:r>
            <w:r w:rsidR="00A316BE">
              <w:t>22</w:t>
            </w:r>
          </w:p>
        </w:tc>
        <w:tc>
          <w:tcPr>
            <w:tcW w:w="5698" w:type="dxa"/>
          </w:tcPr>
          <w:p w14:paraId="5184CA50" w14:textId="388EA29F" w:rsidR="008B2A36" w:rsidRDefault="00067441" w:rsidP="001B6EF2">
            <w:pPr>
              <w:jc w:val="both"/>
            </w:pPr>
            <w:r>
              <w:t>IAFI</w:t>
            </w:r>
            <w:r w:rsidR="004909E7">
              <w:t xml:space="preserve"> </w:t>
            </w:r>
            <w:r>
              <w:t>proposes</w:t>
            </w:r>
            <w:r w:rsidR="004909E7">
              <w:t xml:space="preserve"> the addition of a footnote </w:t>
            </w:r>
            <w:r w:rsidR="006C1B57">
              <w:t>to the 470-694 MHz band in the NFA</w:t>
            </w:r>
            <w:r w:rsidR="004909E7">
              <w:t>P. This footnote would allow the use of land mobile service intended for applications ancillary to broadcasting and Program</w:t>
            </w:r>
            <w:r w:rsidR="00197DA9">
              <w:t>me</w:t>
            </w:r>
            <w:r w:rsidR="004909E7">
              <w:t xml:space="preserve"> Making and Special Events (PMSE) on a secondary basis. </w:t>
            </w:r>
            <w:r>
              <w:t>IAFI</w:t>
            </w:r>
            <w:r w:rsidR="009D344A">
              <w:t xml:space="preserve"> proposes </w:t>
            </w:r>
            <w:r w:rsidR="00911816">
              <w:t xml:space="preserve">the following </w:t>
            </w:r>
            <w:r w:rsidR="00941571">
              <w:t>text for a</w:t>
            </w:r>
            <w:r w:rsidR="00F008EF">
              <w:t xml:space="preserve"> new India</w:t>
            </w:r>
            <w:r w:rsidR="00941571">
              <w:t xml:space="preserve"> footnote: “</w:t>
            </w:r>
            <w:r w:rsidR="008B2A36" w:rsidRPr="25299AAF">
              <w:rPr>
                <w:i/>
                <w:iCs/>
              </w:rPr>
              <w:t>IND XX The frequency band</w:t>
            </w:r>
            <w:r>
              <w:rPr>
                <w:i/>
                <w:iCs/>
              </w:rPr>
              <w:t xml:space="preserve">s 174-230 MHz </w:t>
            </w:r>
            <w:proofErr w:type="gramStart"/>
            <w:r>
              <w:rPr>
                <w:i/>
                <w:iCs/>
              </w:rPr>
              <w:t xml:space="preserve">and </w:t>
            </w:r>
            <w:r w:rsidR="008B2A36" w:rsidRPr="25299AAF">
              <w:rPr>
                <w:i/>
                <w:iCs/>
              </w:rPr>
              <w:t xml:space="preserve"> 470</w:t>
            </w:r>
            <w:proofErr w:type="gramEnd"/>
            <w:r w:rsidR="008B2A36" w:rsidRPr="25299AAF">
              <w:rPr>
                <w:i/>
                <w:iCs/>
              </w:rPr>
              <w:t>-6</w:t>
            </w:r>
            <w:r>
              <w:rPr>
                <w:i/>
                <w:iCs/>
              </w:rPr>
              <w:t>12</w:t>
            </w:r>
            <w:r w:rsidR="008B2A36" w:rsidRPr="25299AAF">
              <w:rPr>
                <w:i/>
                <w:iCs/>
              </w:rPr>
              <w:t xml:space="preserve"> MHz is also allocated on a secondary basis to the land mobile service, intended for applications ancillary to broadcasting and programme-making.</w:t>
            </w:r>
            <w:r w:rsidR="006309D8">
              <w:t>”</w:t>
            </w:r>
          </w:p>
        </w:tc>
      </w:tr>
      <w:tr w:rsidR="005023B0" w14:paraId="40EDF312" w14:textId="77777777" w:rsidTr="3F9B0001">
        <w:trPr>
          <w:trHeight w:val="433"/>
        </w:trPr>
        <w:tc>
          <w:tcPr>
            <w:tcW w:w="924" w:type="dxa"/>
          </w:tcPr>
          <w:p w14:paraId="6585AEC2" w14:textId="77777777" w:rsidR="005023B0" w:rsidRDefault="00FC6CC0" w:rsidP="00631A9C">
            <w:r>
              <w:t>16</w:t>
            </w:r>
          </w:p>
        </w:tc>
        <w:tc>
          <w:tcPr>
            <w:tcW w:w="3295" w:type="dxa"/>
          </w:tcPr>
          <w:p w14:paraId="548E3067" w14:textId="77777777" w:rsidR="005023B0" w:rsidRDefault="005023B0" w:rsidP="00631A9C">
            <w:r>
              <w:t>Remarks</w:t>
            </w:r>
          </w:p>
          <w:p w14:paraId="6DE3B6C8" w14:textId="77777777" w:rsidR="005023B0" w:rsidRDefault="005023B0" w:rsidP="00631A9C"/>
          <w:p w14:paraId="53E80EEA" w14:textId="77777777" w:rsidR="005023B0" w:rsidRDefault="005023B0" w:rsidP="00631A9C"/>
        </w:tc>
        <w:tc>
          <w:tcPr>
            <w:tcW w:w="5698" w:type="dxa"/>
          </w:tcPr>
          <w:p w14:paraId="6EFAA487" w14:textId="211DDA8B" w:rsidR="005023B0" w:rsidRDefault="00960E5D" w:rsidP="001B6EF2">
            <w:pPr>
              <w:tabs>
                <w:tab w:val="left" w:pos="2743"/>
              </w:tabs>
              <w:jc w:val="both"/>
            </w:pPr>
            <w:r w:rsidRPr="00960E5D">
              <w:t xml:space="preserve">Adding PMSE applications to </w:t>
            </w:r>
            <w:r>
              <w:t>India’s</w:t>
            </w:r>
            <w:r w:rsidRPr="00960E5D">
              <w:t xml:space="preserve"> </w:t>
            </w:r>
            <w:r>
              <w:t>NFAP</w:t>
            </w:r>
            <w:r w:rsidRPr="00960E5D">
              <w:t xml:space="preserve"> is crucial for supporting the growing demand for high-quality, reliable wireless audio communications in various professional sectors. By recognizing PMSE in the allocation table,</w:t>
            </w:r>
            <w:r w:rsidR="00706933">
              <w:t xml:space="preserve"> a </w:t>
            </w:r>
            <w:r w:rsidRPr="00960E5D">
              <w:t xml:space="preserve">dedicated and interference-free spectrum access </w:t>
            </w:r>
            <w:r w:rsidR="000F74AE">
              <w:t xml:space="preserve">is ensured </w:t>
            </w:r>
            <w:r w:rsidRPr="00960E5D">
              <w:t>for industries such as broadcasting, theater, live events, and film production. This inclusion not only fosters innovation and technological advancements but also supports the cultural and economic contributions of the creative industries, thereby enhancing the overall media and entertainment landscape of the nation. Additionally, it provides a predictable regulatory framework, giving manufacturers, event organizers, and users the confidence to invest in and deploy advanced PMSE technologies</w:t>
            </w:r>
            <w:r w:rsidR="00081B7B">
              <w:t xml:space="preserve"> in India.</w:t>
            </w:r>
          </w:p>
          <w:p w14:paraId="08911562" w14:textId="76EC70A3" w:rsidR="005023B0" w:rsidRDefault="5724D6D1" w:rsidP="001B6EF2">
            <w:pPr>
              <w:tabs>
                <w:tab w:val="left" w:pos="2743"/>
              </w:tabs>
              <w:jc w:val="both"/>
            </w:pPr>
            <w:r>
              <w:t>Please not</w:t>
            </w:r>
            <w:r w:rsidR="16A9900D">
              <w:t>e</w:t>
            </w:r>
            <w:r>
              <w:t xml:space="preserve"> that audio PMSE does not </w:t>
            </w:r>
            <w:r w:rsidR="62DA7113">
              <w:t>cause</w:t>
            </w:r>
            <w:r>
              <w:t xml:space="preserve"> </w:t>
            </w:r>
            <w:r w:rsidR="71617AC3">
              <w:t>harmful</w:t>
            </w:r>
            <w:r>
              <w:t xml:space="preserve"> interference to DTT service due to that fact that an audio PMSE device cannot work with high interference and therefore avo</w:t>
            </w:r>
            <w:r w:rsidR="25036A4F">
              <w:t>ids using occupied DTT channel.</w:t>
            </w:r>
            <w:r w:rsidR="00960E5D">
              <w:br/>
            </w:r>
            <w:r w:rsidR="03D0BD0D">
              <w:t>That is why in many countries in e.g., Europe audio PMSE devices are allowed on general license schem</w:t>
            </w:r>
            <w:r w:rsidR="0D0EFC02">
              <w:t>e.</w:t>
            </w:r>
          </w:p>
        </w:tc>
      </w:tr>
    </w:tbl>
    <w:p w14:paraId="0392C24C" w14:textId="77777777" w:rsidR="005023B0" w:rsidRDefault="005023B0" w:rsidP="005023B0">
      <w:r>
        <w:t>Note.</w:t>
      </w:r>
    </w:p>
    <w:p w14:paraId="30349F66" w14:textId="77777777" w:rsidR="005023B0" w:rsidRDefault="005023B0" w:rsidP="005023B0">
      <w:r>
        <w:t>5</w:t>
      </w:r>
      <w:proofErr w:type="gramStart"/>
      <w:r>
        <w:t>* .</w:t>
      </w:r>
      <w:proofErr w:type="gramEnd"/>
      <w:r>
        <w:t xml:space="preserve"> Construction service / Manufactu</w:t>
      </w:r>
      <w:r w:rsidR="000C64DD">
        <w:t>ring service/ Shipping Service/Aeronautical Service</w:t>
      </w:r>
      <w:r>
        <w:t xml:space="preserve"> </w:t>
      </w:r>
      <w:proofErr w:type="spellStart"/>
      <w:r>
        <w:t>etc</w:t>
      </w:r>
      <w:proofErr w:type="spellEnd"/>
    </w:p>
    <w:p w14:paraId="6DD3D1F6" w14:textId="77777777" w:rsidR="005023B0" w:rsidRDefault="005023B0" w:rsidP="005023B0">
      <w:r>
        <w:t>7*.  Specify the operation of service (</w:t>
      </w:r>
      <w:proofErr w:type="spellStart"/>
      <w:r>
        <w:t>e.g</w:t>
      </w:r>
      <w:proofErr w:type="spellEnd"/>
      <w:r>
        <w:t xml:space="preserve"> Hand held radio/ Vehicle mobile radio/ point to point links/FM/Community Radio/</w:t>
      </w:r>
      <w:proofErr w:type="spellStart"/>
      <w:r>
        <w:t>Aeromobile</w:t>
      </w:r>
      <w:proofErr w:type="spellEnd"/>
      <w:r>
        <w:t xml:space="preserve">/Short Rang </w:t>
      </w:r>
      <w:proofErr w:type="gramStart"/>
      <w:r>
        <w:t xml:space="preserve">Device  </w:t>
      </w:r>
      <w:proofErr w:type="spellStart"/>
      <w:r>
        <w:t>etc</w:t>
      </w:r>
      <w:proofErr w:type="spellEnd"/>
      <w:proofErr w:type="gramEnd"/>
    </w:p>
    <w:p w14:paraId="722AB643" w14:textId="77777777" w:rsidR="009C76AD" w:rsidRDefault="009C76AD" w:rsidP="009C76AD">
      <w:r>
        <w:t xml:space="preserve">12* Amateur/Fixed/Land mobile/Aeronautical mobile/Maritime Mobile/Aeronautical radio navigation/FM broadcast/Community Radio Service </w:t>
      </w:r>
      <w:proofErr w:type="spellStart"/>
      <w:r>
        <w:t>etc</w:t>
      </w:r>
      <w:proofErr w:type="spellEnd"/>
    </w:p>
    <w:p w14:paraId="6FF80B7A" w14:textId="132B7257" w:rsidR="73C768F4" w:rsidRDefault="73C768F4" w:rsidP="73C768F4">
      <w:pPr>
        <w:jc w:val="right"/>
      </w:pPr>
    </w:p>
    <w:p w14:paraId="75497229" w14:textId="11003261" w:rsidR="73C768F4" w:rsidRDefault="73C768F4" w:rsidP="73C768F4">
      <w:pPr>
        <w:jc w:val="right"/>
      </w:pPr>
    </w:p>
    <w:p w14:paraId="51C8425F" w14:textId="33958770" w:rsidR="73C768F4" w:rsidRDefault="73C768F4" w:rsidP="73C768F4">
      <w:pPr>
        <w:jc w:val="right"/>
      </w:pPr>
    </w:p>
    <w:p w14:paraId="1ADB28B6" w14:textId="69515EC6" w:rsidR="73C768F4" w:rsidRDefault="73C768F4" w:rsidP="73C768F4">
      <w:pPr>
        <w:jc w:val="right"/>
      </w:pPr>
    </w:p>
    <w:p w14:paraId="7162FC43" w14:textId="085F0414" w:rsidR="73C768F4" w:rsidRDefault="73C768F4" w:rsidP="73C768F4">
      <w:pPr>
        <w:jc w:val="right"/>
      </w:pPr>
    </w:p>
    <w:p w14:paraId="5A45C464" w14:textId="0EC5A9FE" w:rsidR="73C768F4" w:rsidRDefault="73C768F4" w:rsidP="73C768F4">
      <w:pPr>
        <w:jc w:val="right"/>
      </w:pPr>
    </w:p>
    <w:p w14:paraId="229612B2" w14:textId="7245C304" w:rsidR="73C768F4" w:rsidRDefault="73C768F4" w:rsidP="73C768F4">
      <w:pPr>
        <w:jc w:val="right"/>
      </w:pPr>
    </w:p>
    <w:p w14:paraId="6B9F17C2" w14:textId="77777777" w:rsidR="005023B0" w:rsidRDefault="005023B0" w:rsidP="00A644A1">
      <w:pPr>
        <w:jc w:val="right"/>
      </w:pPr>
      <w:r>
        <w:t>Date</w:t>
      </w:r>
      <w:r w:rsidR="00562232">
        <w:t xml:space="preserve"> and Signature</w:t>
      </w:r>
    </w:p>
    <w:sectPr w:rsidR="005023B0" w:rsidSect="00756A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C599A" w14:textId="77777777" w:rsidR="00BC5A70" w:rsidRDefault="00BC5A70" w:rsidP="00D82D06">
      <w:r>
        <w:separator/>
      </w:r>
    </w:p>
  </w:endnote>
  <w:endnote w:type="continuationSeparator" w:id="0">
    <w:p w14:paraId="25A446D4" w14:textId="77777777" w:rsidR="00BC5A70" w:rsidRDefault="00BC5A70" w:rsidP="00D82D06">
      <w:r>
        <w:continuationSeparator/>
      </w:r>
    </w:p>
  </w:endnote>
  <w:endnote w:type="continuationNotice" w:id="1">
    <w:p w14:paraId="2926E33E" w14:textId="77777777" w:rsidR="00BC5A70" w:rsidRDefault="00BC5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F6BB7" w14:textId="77777777" w:rsidR="00BC5A70" w:rsidRDefault="00BC5A70" w:rsidP="00D82D06">
      <w:r>
        <w:separator/>
      </w:r>
    </w:p>
  </w:footnote>
  <w:footnote w:type="continuationSeparator" w:id="0">
    <w:p w14:paraId="7B645CCF" w14:textId="77777777" w:rsidR="00BC5A70" w:rsidRDefault="00BC5A70" w:rsidP="00D82D06">
      <w:r>
        <w:continuationSeparator/>
      </w:r>
    </w:p>
  </w:footnote>
  <w:footnote w:type="continuationNotice" w:id="1">
    <w:p w14:paraId="2081EEBD" w14:textId="77777777" w:rsidR="00BC5A70" w:rsidRDefault="00BC5A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83EC0"/>
    <w:multiLevelType w:val="hybridMultilevel"/>
    <w:tmpl w:val="48229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47133D"/>
    <w:multiLevelType w:val="hybridMultilevel"/>
    <w:tmpl w:val="5F966A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F5471B"/>
    <w:multiLevelType w:val="hybridMultilevel"/>
    <w:tmpl w:val="77DA7E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1858DE"/>
    <w:multiLevelType w:val="hybridMultilevel"/>
    <w:tmpl w:val="EB4C8B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E856C1E"/>
    <w:multiLevelType w:val="hybridMultilevel"/>
    <w:tmpl w:val="6D781A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5740CB"/>
    <w:multiLevelType w:val="hybridMultilevel"/>
    <w:tmpl w:val="00C261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2FD48A6"/>
    <w:multiLevelType w:val="hybridMultilevel"/>
    <w:tmpl w:val="8738E72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4254333">
    <w:abstractNumId w:val="5"/>
  </w:num>
  <w:num w:numId="2" w16cid:durableId="2041860873">
    <w:abstractNumId w:val="3"/>
  </w:num>
  <w:num w:numId="3" w16cid:durableId="1439986947">
    <w:abstractNumId w:val="0"/>
  </w:num>
  <w:num w:numId="4" w16cid:durableId="1102141529">
    <w:abstractNumId w:val="2"/>
  </w:num>
  <w:num w:numId="5" w16cid:durableId="320813557">
    <w:abstractNumId w:val="6"/>
  </w:num>
  <w:num w:numId="6" w16cid:durableId="1012222932">
    <w:abstractNumId w:val="1"/>
  </w:num>
  <w:num w:numId="7" w16cid:durableId="902567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29"/>
    <w:rsid w:val="0001715C"/>
    <w:rsid w:val="0004442A"/>
    <w:rsid w:val="000462F8"/>
    <w:rsid w:val="00067441"/>
    <w:rsid w:val="00081B7B"/>
    <w:rsid w:val="00084242"/>
    <w:rsid w:val="00084378"/>
    <w:rsid w:val="000A3194"/>
    <w:rsid w:val="000A323D"/>
    <w:rsid w:val="000B39D3"/>
    <w:rsid w:val="000C64DD"/>
    <w:rsid w:val="000D2844"/>
    <w:rsid w:val="000E1E19"/>
    <w:rsid w:val="000E6D45"/>
    <w:rsid w:val="000F179D"/>
    <w:rsid w:val="000F2545"/>
    <w:rsid w:val="000F3F11"/>
    <w:rsid w:val="000F74AE"/>
    <w:rsid w:val="001058DB"/>
    <w:rsid w:val="001103CA"/>
    <w:rsid w:val="00142A41"/>
    <w:rsid w:val="0015340A"/>
    <w:rsid w:val="00175A1E"/>
    <w:rsid w:val="00197DA9"/>
    <w:rsid w:val="001A4C8E"/>
    <w:rsid w:val="001B01B4"/>
    <w:rsid w:val="001B6EF2"/>
    <w:rsid w:val="001C7D8B"/>
    <w:rsid w:val="001D60D3"/>
    <w:rsid w:val="001E2DCA"/>
    <w:rsid w:val="001F29E1"/>
    <w:rsid w:val="00200252"/>
    <w:rsid w:val="00210923"/>
    <w:rsid w:val="00211125"/>
    <w:rsid w:val="0021120D"/>
    <w:rsid w:val="00213D6A"/>
    <w:rsid w:val="00226800"/>
    <w:rsid w:val="00236C85"/>
    <w:rsid w:val="00237832"/>
    <w:rsid w:val="00242215"/>
    <w:rsid w:val="00250100"/>
    <w:rsid w:val="002630D4"/>
    <w:rsid w:val="002756A0"/>
    <w:rsid w:val="0027603C"/>
    <w:rsid w:val="00290CC0"/>
    <w:rsid w:val="003029DB"/>
    <w:rsid w:val="003347C3"/>
    <w:rsid w:val="003358BB"/>
    <w:rsid w:val="0034626C"/>
    <w:rsid w:val="00370BBF"/>
    <w:rsid w:val="0037377A"/>
    <w:rsid w:val="0039007E"/>
    <w:rsid w:val="00396ABA"/>
    <w:rsid w:val="003A297E"/>
    <w:rsid w:val="003A5EF0"/>
    <w:rsid w:val="003C375A"/>
    <w:rsid w:val="003C7480"/>
    <w:rsid w:val="003D2FA0"/>
    <w:rsid w:val="003E0B3C"/>
    <w:rsid w:val="003F5439"/>
    <w:rsid w:val="004120A8"/>
    <w:rsid w:val="00414422"/>
    <w:rsid w:val="004342F3"/>
    <w:rsid w:val="00435A2A"/>
    <w:rsid w:val="00437677"/>
    <w:rsid w:val="00445B68"/>
    <w:rsid w:val="00455FD6"/>
    <w:rsid w:val="004779BD"/>
    <w:rsid w:val="004814E5"/>
    <w:rsid w:val="00481EBE"/>
    <w:rsid w:val="004821F7"/>
    <w:rsid w:val="004909E7"/>
    <w:rsid w:val="00496394"/>
    <w:rsid w:val="004A23B8"/>
    <w:rsid w:val="004A5084"/>
    <w:rsid w:val="004C52F0"/>
    <w:rsid w:val="004D20D3"/>
    <w:rsid w:val="004D60BD"/>
    <w:rsid w:val="005023B0"/>
    <w:rsid w:val="005134AF"/>
    <w:rsid w:val="00523257"/>
    <w:rsid w:val="00561563"/>
    <w:rsid w:val="00562232"/>
    <w:rsid w:val="00570CE8"/>
    <w:rsid w:val="0058743E"/>
    <w:rsid w:val="005B19B2"/>
    <w:rsid w:val="005B22BD"/>
    <w:rsid w:val="005B53E8"/>
    <w:rsid w:val="005C6C11"/>
    <w:rsid w:val="005C7199"/>
    <w:rsid w:val="005E2ED7"/>
    <w:rsid w:val="005E4FD4"/>
    <w:rsid w:val="005F2962"/>
    <w:rsid w:val="005F6D5D"/>
    <w:rsid w:val="00604A3B"/>
    <w:rsid w:val="00605B24"/>
    <w:rsid w:val="00607451"/>
    <w:rsid w:val="00621902"/>
    <w:rsid w:val="006309D8"/>
    <w:rsid w:val="00631A9C"/>
    <w:rsid w:val="00635808"/>
    <w:rsid w:val="00685C33"/>
    <w:rsid w:val="006A022A"/>
    <w:rsid w:val="006A2569"/>
    <w:rsid w:val="006A27C4"/>
    <w:rsid w:val="006A2EB8"/>
    <w:rsid w:val="006B5A29"/>
    <w:rsid w:val="006C0097"/>
    <w:rsid w:val="006C1B57"/>
    <w:rsid w:val="006C3530"/>
    <w:rsid w:val="006E2585"/>
    <w:rsid w:val="006F58F2"/>
    <w:rsid w:val="00706933"/>
    <w:rsid w:val="00720C40"/>
    <w:rsid w:val="00756A2D"/>
    <w:rsid w:val="00760212"/>
    <w:rsid w:val="007843F9"/>
    <w:rsid w:val="0078606A"/>
    <w:rsid w:val="007A1726"/>
    <w:rsid w:val="007A1A3F"/>
    <w:rsid w:val="007F3B45"/>
    <w:rsid w:val="0083321A"/>
    <w:rsid w:val="008827C1"/>
    <w:rsid w:val="00887EE3"/>
    <w:rsid w:val="008A22D8"/>
    <w:rsid w:val="008B2A36"/>
    <w:rsid w:val="008B4D0D"/>
    <w:rsid w:val="008C79C6"/>
    <w:rsid w:val="008E3E68"/>
    <w:rsid w:val="008E3EB5"/>
    <w:rsid w:val="008F3E20"/>
    <w:rsid w:val="008F7BF6"/>
    <w:rsid w:val="0090068C"/>
    <w:rsid w:val="00911816"/>
    <w:rsid w:val="009254C7"/>
    <w:rsid w:val="00933711"/>
    <w:rsid w:val="0093651E"/>
    <w:rsid w:val="00941571"/>
    <w:rsid w:val="00947858"/>
    <w:rsid w:val="00960E5D"/>
    <w:rsid w:val="0096235A"/>
    <w:rsid w:val="0096493F"/>
    <w:rsid w:val="009774F0"/>
    <w:rsid w:val="0099661D"/>
    <w:rsid w:val="00997CA4"/>
    <w:rsid w:val="009B3D19"/>
    <w:rsid w:val="009C2524"/>
    <w:rsid w:val="009C76AD"/>
    <w:rsid w:val="009D125C"/>
    <w:rsid w:val="009D344A"/>
    <w:rsid w:val="009E308F"/>
    <w:rsid w:val="009F30FA"/>
    <w:rsid w:val="00A027A1"/>
    <w:rsid w:val="00A316B0"/>
    <w:rsid w:val="00A316BE"/>
    <w:rsid w:val="00A41075"/>
    <w:rsid w:val="00A543BA"/>
    <w:rsid w:val="00A644A1"/>
    <w:rsid w:val="00A86568"/>
    <w:rsid w:val="00A9003A"/>
    <w:rsid w:val="00A9003D"/>
    <w:rsid w:val="00AD2CB7"/>
    <w:rsid w:val="00AD6E86"/>
    <w:rsid w:val="00AF0964"/>
    <w:rsid w:val="00B400EF"/>
    <w:rsid w:val="00B53A68"/>
    <w:rsid w:val="00B62D8C"/>
    <w:rsid w:val="00B66C8B"/>
    <w:rsid w:val="00B72044"/>
    <w:rsid w:val="00B959C8"/>
    <w:rsid w:val="00BA701D"/>
    <w:rsid w:val="00BB75BD"/>
    <w:rsid w:val="00BC02DC"/>
    <w:rsid w:val="00BC5A70"/>
    <w:rsid w:val="00BD6282"/>
    <w:rsid w:val="00BF0274"/>
    <w:rsid w:val="00C02A27"/>
    <w:rsid w:val="00C071F3"/>
    <w:rsid w:val="00C26289"/>
    <w:rsid w:val="00C5028A"/>
    <w:rsid w:val="00C74268"/>
    <w:rsid w:val="00CB0F19"/>
    <w:rsid w:val="00CB592B"/>
    <w:rsid w:val="00CC38FC"/>
    <w:rsid w:val="00CD3816"/>
    <w:rsid w:val="00CE1A28"/>
    <w:rsid w:val="00CF1E4A"/>
    <w:rsid w:val="00CF6593"/>
    <w:rsid w:val="00D03C73"/>
    <w:rsid w:val="00D26FC3"/>
    <w:rsid w:val="00D33EA5"/>
    <w:rsid w:val="00D76846"/>
    <w:rsid w:val="00D82D06"/>
    <w:rsid w:val="00D93400"/>
    <w:rsid w:val="00DA4242"/>
    <w:rsid w:val="00DC5B76"/>
    <w:rsid w:val="00DF3AB0"/>
    <w:rsid w:val="00E04A99"/>
    <w:rsid w:val="00E26666"/>
    <w:rsid w:val="00E274E2"/>
    <w:rsid w:val="00E67D11"/>
    <w:rsid w:val="00E851DC"/>
    <w:rsid w:val="00E863A7"/>
    <w:rsid w:val="00E940CB"/>
    <w:rsid w:val="00EA150C"/>
    <w:rsid w:val="00EA2CC7"/>
    <w:rsid w:val="00EC1548"/>
    <w:rsid w:val="00EC50D7"/>
    <w:rsid w:val="00EC7555"/>
    <w:rsid w:val="00F008EF"/>
    <w:rsid w:val="00F0298D"/>
    <w:rsid w:val="00F035D9"/>
    <w:rsid w:val="00F247E6"/>
    <w:rsid w:val="00F50181"/>
    <w:rsid w:val="00F66BF8"/>
    <w:rsid w:val="00F823E4"/>
    <w:rsid w:val="00FB3DFC"/>
    <w:rsid w:val="00FC6CC0"/>
    <w:rsid w:val="03D0BD0D"/>
    <w:rsid w:val="06E1B526"/>
    <w:rsid w:val="0724DC6D"/>
    <w:rsid w:val="0836DBEA"/>
    <w:rsid w:val="0D0EFC02"/>
    <w:rsid w:val="10B7FA0D"/>
    <w:rsid w:val="11A6FFCA"/>
    <w:rsid w:val="15592226"/>
    <w:rsid w:val="16A9900D"/>
    <w:rsid w:val="18114457"/>
    <w:rsid w:val="25036A4F"/>
    <w:rsid w:val="25299AAF"/>
    <w:rsid w:val="27CB34FF"/>
    <w:rsid w:val="28D2BF4E"/>
    <w:rsid w:val="297B8B6A"/>
    <w:rsid w:val="2C4EC522"/>
    <w:rsid w:val="2D861024"/>
    <w:rsid w:val="2DD75471"/>
    <w:rsid w:val="3873C611"/>
    <w:rsid w:val="39BC1F7E"/>
    <w:rsid w:val="3B7FB582"/>
    <w:rsid w:val="3D3BAD3D"/>
    <w:rsid w:val="3D94E8F8"/>
    <w:rsid w:val="3F7C2B1A"/>
    <w:rsid w:val="3F9B0001"/>
    <w:rsid w:val="40CD9E1C"/>
    <w:rsid w:val="41A604BC"/>
    <w:rsid w:val="4E17FF05"/>
    <w:rsid w:val="540123A1"/>
    <w:rsid w:val="54E4E241"/>
    <w:rsid w:val="5724D6D1"/>
    <w:rsid w:val="5D9B35FB"/>
    <w:rsid w:val="6047F0BC"/>
    <w:rsid w:val="61A6DDB7"/>
    <w:rsid w:val="62DA7113"/>
    <w:rsid w:val="6A5D9AFE"/>
    <w:rsid w:val="6A6DC9EB"/>
    <w:rsid w:val="6D0D84F5"/>
    <w:rsid w:val="6FD64A01"/>
    <w:rsid w:val="6FE2AE8B"/>
    <w:rsid w:val="71617AC3"/>
    <w:rsid w:val="73C768F4"/>
    <w:rsid w:val="74C51571"/>
  </w:rsids>
  <m:mathPr>
    <m:mathFont m:val="Cambria Math"/>
    <m:brkBin m:val="before"/>
    <m:brkBinSub m:val="--"/>
    <m:smallFrac/>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3C14E"/>
  <w15:docId w15:val="{BB855CAB-A5C9-4022-8CB6-E9D62589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6B0"/>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68C"/>
    <w:pPr>
      <w:ind w:left="720"/>
      <w:contextualSpacing/>
    </w:pPr>
  </w:style>
  <w:style w:type="character" w:styleId="Hyperlink">
    <w:name w:val="Hyperlink"/>
    <w:aliases w:val="ECC Hyperlink,超级链接,CEO_Hyperlink"/>
    <w:basedOn w:val="DefaultParagraphFont"/>
    <w:uiPriority w:val="99"/>
    <w:unhideWhenUsed/>
    <w:rsid w:val="007843F9"/>
    <w:rPr>
      <w:color w:val="0000FF" w:themeColor="hyperlink"/>
      <w:u w:val="single"/>
    </w:rPr>
  </w:style>
  <w:style w:type="character" w:styleId="UnresolvedMention">
    <w:name w:val="Unresolved Mention"/>
    <w:basedOn w:val="DefaultParagraphFont"/>
    <w:uiPriority w:val="99"/>
    <w:semiHidden/>
    <w:unhideWhenUsed/>
    <w:rsid w:val="007A1726"/>
    <w:rPr>
      <w:color w:val="605E5C"/>
      <w:shd w:val="clear" w:color="auto" w:fill="E1DFDD"/>
    </w:rPr>
  </w:style>
  <w:style w:type="character" w:styleId="FollowedHyperlink">
    <w:name w:val="FollowedHyperlink"/>
    <w:basedOn w:val="DefaultParagraphFont"/>
    <w:uiPriority w:val="99"/>
    <w:semiHidden/>
    <w:unhideWhenUsed/>
    <w:rsid w:val="0021120D"/>
    <w:rPr>
      <w:color w:val="800080" w:themeColor="followedHyperlink"/>
      <w:u w:val="single"/>
    </w:rPr>
  </w:style>
  <w:style w:type="paragraph" w:styleId="CommentText">
    <w:name w:val="annotation text"/>
    <w:basedOn w:val="Normal"/>
    <w:link w:val="CommentTextChar"/>
    <w:uiPriority w:val="99"/>
    <w:semiHidden/>
    <w:unhideWhenUsed/>
    <w:rsid w:val="000F3F11"/>
    <w:rPr>
      <w:sz w:val="20"/>
      <w:szCs w:val="20"/>
    </w:rPr>
  </w:style>
  <w:style w:type="character" w:customStyle="1" w:styleId="CommentTextChar">
    <w:name w:val="Comment Text Char"/>
    <w:basedOn w:val="DefaultParagraphFont"/>
    <w:link w:val="CommentText"/>
    <w:uiPriority w:val="99"/>
    <w:semiHidden/>
    <w:rsid w:val="000F3F11"/>
    <w:rPr>
      <w:rFonts w:ascii="Times New Roman" w:eastAsia="Times New Roman" w:hAnsi="Times New Roman" w:cs="Times New Roman"/>
      <w:sz w:val="20"/>
      <w:lang w:val="en-US" w:bidi="ar-SA"/>
    </w:rPr>
  </w:style>
  <w:style w:type="character" w:styleId="CommentReference">
    <w:name w:val="annotation reference"/>
    <w:basedOn w:val="DefaultParagraphFont"/>
    <w:uiPriority w:val="99"/>
    <w:semiHidden/>
    <w:unhideWhenUsed/>
    <w:rsid w:val="000F3F11"/>
    <w:rPr>
      <w:sz w:val="16"/>
      <w:szCs w:val="16"/>
    </w:rPr>
  </w:style>
  <w:style w:type="paragraph" w:styleId="FootnoteText">
    <w:name w:val="footnote text"/>
    <w:basedOn w:val="Normal"/>
    <w:link w:val="FootnoteTextChar"/>
    <w:uiPriority w:val="99"/>
    <w:unhideWhenUsed/>
    <w:rsid w:val="00D82D06"/>
    <w:rPr>
      <w:sz w:val="20"/>
      <w:szCs w:val="20"/>
    </w:rPr>
  </w:style>
  <w:style w:type="character" w:customStyle="1" w:styleId="FootnoteTextChar">
    <w:name w:val="Footnote Text Char"/>
    <w:basedOn w:val="DefaultParagraphFont"/>
    <w:link w:val="FootnoteText"/>
    <w:uiPriority w:val="99"/>
    <w:rsid w:val="00D82D06"/>
    <w:rPr>
      <w:rFonts w:ascii="Times New Roman" w:eastAsia="Times New Roman" w:hAnsi="Times New Roman" w:cs="Times New Roman"/>
      <w:sz w:val="20"/>
      <w:lang w:val="en-US" w:bidi="ar-SA"/>
    </w:rPr>
  </w:style>
  <w:style w:type="character" w:styleId="FootnoteReference">
    <w:name w:val="footnote reference"/>
    <w:basedOn w:val="DefaultParagraphFont"/>
    <w:uiPriority w:val="99"/>
    <w:unhideWhenUsed/>
    <w:rsid w:val="00D82D06"/>
    <w:rPr>
      <w:vertAlign w:val="superscript"/>
    </w:rPr>
  </w:style>
  <w:style w:type="character" w:customStyle="1" w:styleId="normaltextrun">
    <w:name w:val="normaltextrun"/>
    <w:basedOn w:val="DefaultParagraphFont"/>
    <w:rsid w:val="006A27C4"/>
  </w:style>
  <w:style w:type="character" w:customStyle="1" w:styleId="eop">
    <w:name w:val="eop"/>
    <w:basedOn w:val="DefaultParagraphFont"/>
    <w:rsid w:val="006A27C4"/>
  </w:style>
  <w:style w:type="paragraph" w:styleId="Header">
    <w:name w:val="header"/>
    <w:basedOn w:val="Normal"/>
    <w:link w:val="HeaderChar"/>
    <w:uiPriority w:val="99"/>
    <w:unhideWhenUsed/>
    <w:rsid w:val="000B39D3"/>
    <w:pPr>
      <w:tabs>
        <w:tab w:val="center" w:pos="4513"/>
        <w:tab w:val="right" w:pos="9026"/>
      </w:tabs>
    </w:pPr>
  </w:style>
  <w:style w:type="character" w:customStyle="1" w:styleId="HeaderChar">
    <w:name w:val="Header Char"/>
    <w:basedOn w:val="DefaultParagraphFont"/>
    <w:link w:val="Header"/>
    <w:uiPriority w:val="99"/>
    <w:rsid w:val="000B39D3"/>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0B39D3"/>
    <w:pPr>
      <w:tabs>
        <w:tab w:val="center" w:pos="4513"/>
        <w:tab w:val="right" w:pos="9026"/>
      </w:tabs>
    </w:pPr>
  </w:style>
  <w:style w:type="character" w:customStyle="1" w:styleId="FooterChar">
    <w:name w:val="Footer Char"/>
    <w:basedOn w:val="DefaultParagraphFont"/>
    <w:link w:val="Footer"/>
    <w:uiPriority w:val="99"/>
    <w:rsid w:val="000B39D3"/>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47/chapter-I/subchapter-C/part-74?toc=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fcom.org.uk/spectrum/radio-equipment/pm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is.cept.org/views2/pmserec2510.jsp" TargetMode="External"/><Relationship Id="rId5" Type="http://schemas.openxmlformats.org/officeDocument/2006/relationships/styles" Target="styles.xml"/><Relationship Id="rId15" Type="http://schemas.openxmlformats.org/officeDocument/2006/relationships/hyperlink" Target="https://www.etsi.org/deliver/etsi_en/300400_300499/30042201/02.02.01_60/en_30042201v020201p.pdf" TargetMode="External"/><Relationship Id="rId10" Type="http://schemas.openxmlformats.org/officeDocument/2006/relationships/hyperlink" Target="https://docdb.cept.org/download/37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cc.gov/wireless/bureau-divisions/broadband-division/wireless-microph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4c5f40-26c5-4016-bfc3-ea93edb66920" xsi:nil="true"/>
    <Comment xmlns="a26f083d-573e-4bb1-8fdd-f66d17e6526d" xsi:nil="true"/>
    <lcf76f155ced4ddcb4097134ff3c332f xmlns="a26f083d-573e-4bb1-8fdd-f66d17e652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2500267248643B38C23A543C9216C" ma:contentTypeVersion="19" ma:contentTypeDescription="Create a new document." ma:contentTypeScope="" ma:versionID="73d9f304ed996f8c909420a3120d4adc">
  <xsd:schema xmlns:xsd="http://www.w3.org/2001/XMLSchema" xmlns:xs="http://www.w3.org/2001/XMLSchema" xmlns:p="http://schemas.microsoft.com/office/2006/metadata/properties" xmlns:ns2="a26f083d-573e-4bb1-8fdd-f66d17e6526d" xmlns:ns3="3f4c5f40-26c5-4016-bfc3-ea93edb66920" targetNamespace="http://schemas.microsoft.com/office/2006/metadata/properties" ma:root="true" ma:fieldsID="32ec71b64995b9ee1b8a4ddf59834f85" ns2:_="" ns3:_="">
    <xsd:import namespace="a26f083d-573e-4bb1-8fdd-f66d17e6526d"/>
    <xsd:import namespace="3f4c5f40-26c5-4016-bfc3-ea93edb669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f083d-573e-4bb1-8fdd-f66d17e6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2" nillable="true" ma:displayName="Comment" ma:internalName="Comment">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1e5cbc-6092-4cf6-ba5b-fc09f205453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c5f40-26c5-4016-bfc3-ea93edb669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5d1ba-3577-43be-81f4-e425c8ca45cc}" ma:internalName="TaxCatchAll" ma:showField="CatchAllData" ma:web="3f4c5f40-26c5-4016-bfc3-ea93edb66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76B1A-843A-44A5-AEA6-25B71B5421A9}">
  <ds:schemaRefs>
    <ds:schemaRef ds:uri="http://schemas.microsoft.com/office/2006/metadata/properties"/>
    <ds:schemaRef ds:uri="http://schemas.microsoft.com/office/infopath/2007/PartnerControls"/>
    <ds:schemaRef ds:uri="3f4c5f40-26c5-4016-bfc3-ea93edb66920"/>
    <ds:schemaRef ds:uri="a26f083d-573e-4bb1-8fdd-f66d17e6526d"/>
  </ds:schemaRefs>
</ds:datastoreItem>
</file>

<file path=customXml/itemProps2.xml><?xml version="1.0" encoding="utf-8"?>
<ds:datastoreItem xmlns:ds="http://schemas.openxmlformats.org/officeDocument/2006/customXml" ds:itemID="{8A43E9E9-C274-46FF-A9CD-4290A149519B}">
  <ds:schemaRefs>
    <ds:schemaRef ds:uri="http://schemas.microsoft.com/sharepoint/v3/contenttype/forms"/>
  </ds:schemaRefs>
</ds:datastoreItem>
</file>

<file path=customXml/itemProps3.xml><?xml version="1.0" encoding="utf-8"?>
<ds:datastoreItem xmlns:ds="http://schemas.openxmlformats.org/officeDocument/2006/customXml" ds:itemID="{CD8F5C50-03D3-4AB0-AC79-D38FDC64F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f083d-573e-4bb1-8fdd-f66d17e6526d"/>
    <ds:schemaRef ds:uri="3f4c5f40-26c5-4016-bfc3-ea93edb66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5723</Characters>
  <Application>Microsoft Office Word</Application>
  <DocSecurity>0</DocSecurity>
  <Lines>47</Lines>
  <Paragraphs>13</Paragraphs>
  <ScaleCrop>false</ScaleCrop>
  <Company>Hewlett-Packard Company</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cp:lastModifiedBy>IAFI</cp:lastModifiedBy>
  <cp:revision>3</cp:revision>
  <cp:lastPrinted>2021-03-04T23:50:00Z</cp:lastPrinted>
  <dcterms:created xsi:type="dcterms:W3CDTF">2024-08-13T09:06:00Z</dcterms:created>
  <dcterms:modified xsi:type="dcterms:W3CDTF">2024-08-13T10:32:00Z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0x0101006E02500267248643B38C23A543C9216C</vt:lpwstr>
  </property>
  <property fmtid="{D5CDD505-2E9C-101B-9397-08002B2CF9AE}" pid="3" name="MediaServiceImageTags">
    <vt:lpwstr/>
  </property>
</Properties>
</file>