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07981" w:rsidRPr="006C3530" w:rsidRDefault="00207981" w:rsidP="00207981">
      <w:pPr>
        <w:jc w:val="both"/>
      </w:pPr>
    </w:p>
    <w:p w:rsidR="00207981" w:rsidRPr="006A022A" w:rsidRDefault="00207981" w:rsidP="00207981">
      <w:pPr>
        <w:jc w:val="center"/>
        <w:rPr>
          <w:b/>
          <w:bCs/>
          <w:sz w:val="28"/>
          <w:szCs w:val="28"/>
        </w:rPr>
      </w:pPr>
      <w:r>
        <w:rPr>
          <w:b/>
          <w:bCs/>
          <w:sz w:val="28"/>
          <w:szCs w:val="28"/>
        </w:rPr>
        <w:t>IAFI</w:t>
      </w:r>
      <w:r w:rsidRPr="006A022A">
        <w:rPr>
          <w:b/>
          <w:bCs/>
          <w:sz w:val="28"/>
          <w:szCs w:val="28"/>
        </w:rPr>
        <w:t>’s Input Document to Working Group (WG)</w:t>
      </w:r>
      <w:r>
        <w:rPr>
          <w:b/>
          <w:bCs/>
          <w:sz w:val="28"/>
          <w:szCs w:val="28"/>
        </w:rPr>
        <w:t>-</w:t>
      </w:r>
      <w:r w:rsidRPr="006A022A">
        <w:rPr>
          <w:b/>
          <w:bCs/>
          <w:sz w:val="28"/>
          <w:szCs w:val="28"/>
        </w:rPr>
        <w:t>1 of NFAP 2022 Review Committee</w:t>
      </w:r>
      <w:r>
        <w:rPr>
          <w:b/>
          <w:bCs/>
          <w:sz w:val="28"/>
          <w:szCs w:val="28"/>
        </w:rPr>
        <w:t xml:space="preserve"> – 600 MHz</w:t>
      </w:r>
    </w:p>
    <w:p w:rsidR="00207981" w:rsidRPr="00562232" w:rsidRDefault="00207981" w:rsidP="00207981">
      <w:pPr>
        <w:jc w:val="center"/>
        <w:rPr>
          <w:b/>
          <w:bCs/>
          <w:u w:val="single"/>
        </w:rPr>
      </w:pPr>
    </w:p>
    <w:tbl>
      <w:tblPr>
        <w:tblStyle w:val="TableGrid"/>
        <w:tblW w:w="13830" w:type="dxa"/>
        <w:tblLook w:val="04A0" w:firstRow="1" w:lastRow="0" w:firstColumn="1" w:lastColumn="0" w:noHBand="0" w:noVBand="1"/>
      </w:tblPr>
      <w:tblGrid>
        <w:gridCol w:w="681"/>
        <w:gridCol w:w="2330"/>
        <w:gridCol w:w="10819"/>
      </w:tblGrid>
      <w:tr w:rsidR="004126EC" w:rsidTr="004126EC">
        <w:tc>
          <w:tcPr>
            <w:tcW w:w="13830" w:type="dxa"/>
            <w:gridSpan w:val="3"/>
          </w:tcPr>
          <w:p w:rsidR="00207981" w:rsidRDefault="00207981" w:rsidP="00D72E6E">
            <w:pPr>
              <w:rPr>
                <w:b/>
                <w:bCs/>
              </w:rPr>
            </w:pPr>
            <w:r w:rsidRPr="00FB0AE5">
              <w:rPr>
                <w:b/>
                <w:bCs/>
              </w:rPr>
              <w:t>Contribution for updating National Frequency Allocation Table-</w:t>
            </w:r>
            <w:proofErr w:type="gramStart"/>
            <w:r w:rsidRPr="00FB0AE5">
              <w:rPr>
                <w:b/>
                <w:bCs/>
              </w:rPr>
              <w:t>20</w:t>
            </w:r>
            <w:r>
              <w:rPr>
                <w:b/>
                <w:bCs/>
              </w:rPr>
              <w:t>22</w:t>
            </w:r>
            <w:r w:rsidRPr="00FB0AE5">
              <w:rPr>
                <w:b/>
                <w:bCs/>
              </w:rPr>
              <w:t xml:space="preserve">  (</w:t>
            </w:r>
            <w:proofErr w:type="gramEnd"/>
            <w:r>
              <w:rPr>
                <w:b/>
                <w:bCs/>
              </w:rPr>
              <w:t>upto</w:t>
            </w:r>
            <w:r w:rsidRPr="00FB0AE5">
              <w:rPr>
                <w:b/>
                <w:bCs/>
              </w:rPr>
              <w:t>1 GHz band)</w:t>
            </w:r>
          </w:p>
          <w:p w:rsidR="00207981" w:rsidRPr="00FB0AE5" w:rsidRDefault="00207981" w:rsidP="00D72E6E">
            <w:pPr>
              <w:rPr>
                <w:b/>
                <w:bCs/>
              </w:rPr>
            </w:pPr>
          </w:p>
        </w:tc>
      </w:tr>
      <w:tr w:rsidR="004126EC" w:rsidTr="004126EC">
        <w:tc>
          <w:tcPr>
            <w:tcW w:w="681" w:type="dxa"/>
          </w:tcPr>
          <w:p w:rsidR="00207981" w:rsidRDefault="00207981" w:rsidP="00D72E6E">
            <w:r>
              <w:t>1</w:t>
            </w:r>
          </w:p>
        </w:tc>
        <w:tc>
          <w:tcPr>
            <w:tcW w:w="2008" w:type="dxa"/>
          </w:tcPr>
          <w:p w:rsidR="00207981" w:rsidRDefault="00207981" w:rsidP="00D72E6E">
            <w:r>
              <w:t xml:space="preserve">Name of Individual/Organization </w:t>
            </w:r>
            <w:proofErr w:type="spellStart"/>
            <w:r>
              <w:t>etc</w:t>
            </w:r>
            <w:proofErr w:type="spellEnd"/>
          </w:p>
        </w:tc>
        <w:tc>
          <w:tcPr>
            <w:tcW w:w="11141" w:type="dxa"/>
          </w:tcPr>
          <w:p w:rsidR="00207981" w:rsidRDefault="00207981" w:rsidP="00D72E6E">
            <w:r>
              <w:t>ITU-APT Foundation of India (IAFI)</w:t>
            </w:r>
          </w:p>
        </w:tc>
      </w:tr>
      <w:tr w:rsidR="004126EC" w:rsidTr="004126EC">
        <w:tc>
          <w:tcPr>
            <w:tcW w:w="681" w:type="dxa"/>
          </w:tcPr>
          <w:p w:rsidR="00207981" w:rsidRDefault="00207981" w:rsidP="00D72E6E">
            <w:r>
              <w:t>2</w:t>
            </w:r>
          </w:p>
        </w:tc>
        <w:tc>
          <w:tcPr>
            <w:tcW w:w="2008" w:type="dxa"/>
          </w:tcPr>
          <w:p w:rsidR="00207981" w:rsidRDefault="00207981" w:rsidP="00D72E6E">
            <w:r>
              <w:t>Address</w:t>
            </w:r>
          </w:p>
        </w:tc>
        <w:tc>
          <w:tcPr>
            <w:tcW w:w="11141" w:type="dxa"/>
          </w:tcPr>
          <w:p w:rsidR="00207981" w:rsidRDefault="00207981" w:rsidP="00D72E6E">
            <w:r w:rsidRPr="3F9B0001">
              <w:t>504, 5th Floor, World Trade Center (Behind Lalit Hotel) Barakhamba Road New Delhi- 110001</w:t>
            </w:r>
          </w:p>
        </w:tc>
      </w:tr>
      <w:tr w:rsidR="004126EC" w:rsidTr="004126EC">
        <w:tc>
          <w:tcPr>
            <w:tcW w:w="681" w:type="dxa"/>
          </w:tcPr>
          <w:p w:rsidR="00207981" w:rsidRDefault="00207981" w:rsidP="00D72E6E">
            <w:r>
              <w:t>3</w:t>
            </w:r>
          </w:p>
        </w:tc>
        <w:tc>
          <w:tcPr>
            <w:tcW w:w="2008" w:type="dxa"/>
          </w:tcPr>
          <w:p w:rsidR="00207981" w:rsidRDefault="00207981" w:rsidP="00D72E6E">
            <w:r>
              <w:t>Mail ID</w:t>
            </w:r>
          </w:p>
        </w:tc>
        <w:tc>
          <w:tcPr>
            <w:tcW w:w="11141" w:type="dxa"/>
          </w:tcPr>
          <w:p w:rsidR="00207981" w:rsidRDefault="00207981" w:rsidP="00D72E6E">
            <w:r w:rsidRPr="3F9B0001">
              <w:t>info@iafi.in</w:t>
            </w:r>
          </w:p>
        </w:tc>
      </w:tr>
      <w:tr w:rsidR="004126EC" w:rsidTr="004126EC">
        <w:tc>
          <w:tcPr>
            <w:tcW w:w="681" w:type="dxa"/>
            <w:tcBorders>
              <w:bottom w:val="single" w:sz="4" w:space="0" w:color="auto"/>
            </w:tcBorders>
          </w:tcPr>
          <w:p w:rsidR="00207981" w:rsidRDefault="00207981" w:rsidP="00D72E6E">
            <w:r>
              <w:t>4</w:t>
            </w:r>
          </w:p>
        </w:tc>
        <w:tc>
          <w:tcPr>
            <w:tcW w:w="2008" w:type="dxa"/>
            <w:tcBorders>
              <w:bottom w:val="single" w:sz="4" w:space="0" w:color="auto"/>
            </w:tcBorders>
          </w:tcPr>
          <w:p w:rsidR="00207981" w:rsidRDefault="00207981" w:rsidP="00D72E6E">
            <w:r>
              <w:t>Phone/Mobile no.</w:t>
            </w:r>
          </w:p>
        </w:tc>
        <w:tc>
          <w:tcPr>
            <w:tcW w:w="11141" w:type="dxa"/>
            <w:tcBorders>
              <w:bottom w:val="single" w:sz="4" w:space="0" w:color="auto"/>
            </w:tcBorders>
          </w:tcPr>
          <w:p w:rsidR="00207981" w:rsidRDefault="00207981" w:rsidP="004126EC">
            <w:pPr>
              <w:ind w:right="2521"/>
              <w:rPr>
                <w:rFonts w:ascii="Arial" w:eastAsia="Arial" w:hAnsi="Arial" w:cs="Arial"/>
                <w:color w:val="000000" w:themeColor="text1"/>
                <w:sz w:val="18"/>
                <w:szCs w:val="18"/>
              </w:rPr>
            </w:pPr>
          </w:p>
        </w:tc>
      </w:tr>
      <w:tr w:rsidR="004126EC" w:rsidTr="004126EC">
        <w:tc>
          <w:tcPr>
            <w:tcW w:w="681" w:type="dxa"/>
            <w:tcBorders>
              <w:bottom w:val="single" w:sz="4" w:space="0" w:color="auto"/>
            </w:tcBorders>
          </w:tcPr>
          <w:p w:rsidR="00207981" w:rsidRDefault="00207981" w:rsidP="00D72E6E">
            <w:r>
              <w:t>5(a)*</w:t>
            </w:r>
          </w:p>
        </w:tc>
        <w:tc>
          <w:tcPr>
            <w:tcW w:w="2008" w:type="dxa"/>
            <w:tcBorders>
              <w:bottom w:val="single" w:sz="4" w:space="0" w:color="auto"/>
            </w:tcBorders>
          </w:tcPr>
          <w:p w:rsidR="00207981" w:rsidRDefault="00207981" w:rsidP="00D72E6E">
            <w:r>
              <w:t>Nature of business</w:t>
            </w:r>
          </w:p>
          <w:p w:rsidR="00207981" w:rsidRDefault="00207981" w:rsidP="00D72E6E"/>
        </w:tc>
        <w:tc>
          <w:tcPr>
            <w:tcW w:w="11141" w:type="dxa"/>
            <w:tcBorders>
              <w:bottom w:val="single" w:sz="4" w:space="0" w:color="auto"/>
            </w:tcBorders>
          </w:tcPr>
          <w:p w:rsidR="00207981" w:rsidRDefault="00207981" w:rsidP="00D72E6E">
            <w:r w:rsidRPr="3F9B0001">
              <w:t xml:space="preserve">Telecommunication   </w:t>
            </w:r>
          </w:p>
        </w:tc>
      </w:tr>
      <w:tr w:rsidR="004126EC" w:rsidTr="004126EC">
        <w:tc>
          <w:tcPr>
            <w:tcW w:w="681" w:type="dxa"/>
            <w:tcBorders>
              <w:bottom w:val="single" w:sz="4" w:space="0" w:color="auto"/>
            </w:tcBorders>
          </w:tcPr>
          <w:p w:rsidR="00207981" w:rsidRDefault="00207981" w:rsidP="00D72E6E">
            <w:r>
              <w:t>5 (b)</w:t>
            </w:r>
          </w:p>
        </w:tc>
        <w:tc>
          <w:tcPr>
            <w:tcW w:w="2008" w:type="dxa"/>
            <w:tcBorders>
              <w:bottom w:val="single" w:sz="4" w:space="0" w:color="auto"/>
            </w:tcBorders>
          </w:tcPr>
          <w:p w:rsidR="00207981" w:rsidRDefault="00207981" w:rsidP="00D72E6E">
            <w:r>
              <w:t xml:space="preserve">Type of </w:t>
            </w:r>
            <w:proofErr w:type="spellStart"/>
            <w:r>
              <w:t>Organisation</w:t>
            </w:r>
            <w:proofErr w:type="spellEnd"/>
            <w:r>
              <w:t xml:space="preserve"> </w:t>
            </w:r>
          </w:p>
          <w:p w:rsidR="00207981" w:rsidRDefault="00207981" w:rsidP="00D72E6E">
            <w:r>
              <w:t xml:space="preserve">(Pvt </w:t>
            </w:r>
            <w:r w:rsidRPr="00142A41">
              <w:t xml:space="preserve">industry, </w:t>
            </w:r>
            <w:r>
              <w:t xml:space="preserve">Association, </w:t>
            </w:r>
            <w:r w:rsidRPr="00142A41">
              <w:t>academia,</w:t>
            </w:r>
            <w:r>
              <w:t xml:space="preserve"> PSU,</w:t>
            </w:r>
            <w:r w:rsidRPr="00142A41">
              <w:t xml:space="preserve"> government departments</w:t>
            </w:r>
            <w:r>
              <w:t xml:space="preserve"> etc.)</w:t>
            </w:r>
          </w:p>
        </w:tc>
        <w:tc>
          <w:tcPr>
            <w:tcW w:w="11141" w:type="dxa"/>
            <w:tcBorders>
              <w:bottom w:val="single" w:sz="4" w:space="0" w:color="auto"/>
            </w:tcBorders>
          </w:tcPr>
          <w:p w:rsidR="00207981" w:rsidRDefault="00207981" w:rsidP="00D72E6E">
            <w:r>
              <w:t>Industry Association</w:t>
            </w:r>
          </w:p>
        </w:tc>
      </w:tr>
      <w:tr w:rsidR="004126EC" w:rsidTr="004126EC">
        <w:tc>
          <w:tcPr>
            <w:tcW w:w="681" w:type="dxa"/>
            <w:tcBorders>
              <w:top w:val="single" w:sz="4" w:space="0" w:color="auto"/>
              <w:left w:val="nil"/>
              <w:bottom w:val="single" w:sz="4" w:space="0" w:color="auto"/>
              <w:right w:val="nil"/>
            </w:tcBorders>
          </w:tcPr>
          <w:p w:rsidR="00207981" w:rsidRDefault="00207981" w:rsidP="00D72E6E">
            <w:pPr>
              <w:tabs>
                <w:tab w:val="left" w:pos="561"/>
              </w:tabs>
            </w:pPr>
          </w:p>
        </w:tc>
        <w:tc>
          <w:tcPr>
            <w:tcW w:w="2008" w:type="dxa"/>
            <w:tcBorders>
              <w:top w:val="single" w:sz="4" w:space="0" w:color="auto"/>
              <w:left w:val="nil"/>
              <w:bottom w:val="single" w:sz="4" w:space="0" w:color="auto"/>
              <w:right w:val="nil"/>
            </w:tcBorders>
          </w:tcPr>
          <w:p w:rsidR="00207981" w:rsidRDefault="00207981" w:rsidP="00D72E6E"/>
        </w:tc>
        <w:tc>
          <w:tcPr>
            <w:tcW w:w="11141" w:type="dxa"/>
            <w:tcBorders>
              <w:top w:val="single" w:sz="4" w:space="0" w:color="auto"/>
              <w:left w:val="nil"/>
              <w:bottom w:val="single" w:sz="4" w:space="0" w:color="auto"/>
              <w:right w:val="nil"/>
            </w:tcBorders>
          </w:tcPr>
          <w:p w:rsidR="00207981" w:rsidRDefault="00207981" w:rsidP="00D72E6E"/>
        </w:tc>
      </w:tr>
      <w:tr w:rsidR="004126EC" w:rsidTr="004126EC">
        <w:tc>
          <w:tcPr>
            <w:tcW w:w="681" w:type="dxa"/>
            <w:tcBorders>
              <w:top w:val="single" w:sz="4" w:space="0" w:color="auto"/>
            </w:tcBorders>
          </w:tcPr>
          <w:p w:rsidR="00207981" w:rsidRDefault="00207981" w:rsidP="00D72E6E">
            <w:pPr>
              <w:tabs>
                <w:tab w:val="left" w:pos="561"/>
              </w:tabs>
            </w:pPr>
            <w:r>
              <w:t>6</w:t>
            </w:r>
            <w:r>
              <w:tab/>
            </w:r>
          </w:p>
        </w:tc>
        <w:tc>
          <w:tcPr>
            <w:tcW w:w="2008" w:type="dxa"/>
            <w:tcBorders>
              <w:top w:val="single" w:sz="4" w:space="0" w:color="auto"/>
            </w:tcBorders>
          </w:tcPr>
          <w:p w:rsidR="00207981" w:rsidRDefault="00207981" w:rsidP="00D72E6E">
            <w:r>
              <w:t>Frequency band (kHz/MHz)</w:t>
            </w:r>
          </w:p>
        </w:tc>
        <w:tc>
          <w:tcPr>
            <w:tcW w:w="11141" w:type="dxa"/>
            <w:tcBorders>
              <w:top w:val="single" w:sz="4" w:space="0" w:color="auto"/>
            </w:tcBorders>
          </w:tcPr>
          <w:p w:rsidR="00207981" w:rsidRDefault="00DC2DD2" w:rsidP="00D72E6E">
            <w:r>
              <w:t>918-922</w:t>
            </w:r>
            <w:r w:rsidR="00207981">
              <w:t xml:space="preserve"> MHz</w:t>
            </w:r>
          </w:p>
        </w:tc>
      </w:tr>
      <w:tr w:rsidR="004126EC" w:rsidTr="004126EC">
        <w:tc>
          <w:tcPr>
            <w:tcW w:w="681" w:type="dxa"/>
          </w:tcPr>
          <w:p w:rsidR="00207981" w:rsidRDefault="00207981" w:rsidP="00D72E6E">
            <w:r>
              <w:t>7*</w:t>
            </w:r>
          </w:p>
        </w:tc>
        <w:tc>
          <w:tcPr>
            <w:tcW w:w="2008" w:type="dxa"/>
          </w:tcPr>
          <w:p w:rsidR="00207981" w:rsidRDefault="00207981" w:rsidP="00D72E6E">
            <w:r>
              <w:t>Applications of service</w:t>
            </w:r>
          </w:p>
          <w:p w:rsidR="00207981" w:rsidRDefault="00207981" w:rsidP="00D72E6E"/>
        </w:tc>
        <w:tc>
          <w:tcPr>
            <w:tcW w:w="11141" w:type="dxa"/>
          </w:tcPr>
          <w:p w:rsidR="004126EC" w:rsidRDefault="004126EC" w:rsidP="004126EC">
            <w:pPr>
              <w:pStyle w:val="NormalWeb"/>
              <w:spacing w:before="0" w:beforeAutospacing="0" w:after="0" w:afterAutospacing="0"/>
            </w:pPr>
            <w:r>
              <w:rPr>
                <w:rFonts w:ascii="Arial" w:hAnsi="Arial" w:cs="Arial"/>
                <w:color w:val="000000"/>
                <w:sz w:val="20"/>
              </w:rPr>
              <w:t>The ISM band 865 to 867 MHz is utilized by various applications leading to high interference. Therefore, there is immense need for extended requirement of 1 MHz (up to 868 MHz) for LPWAN requirement.</w:t>
            </w:r>
          </w:p>
          <w:p w:rsidR="004126EC" w:rsidRDefault="004126EC" w:rsidP="004126EC">
            <w:pPr>
              <w:pStyle w:val="NormalWeb"/>
              <w:spacing w:before="0" w:beforeAutospacing="0" w:after="0" w:afterAutospacing="0"/>
            </w:pPr>
            <w:r>
              <w:rPr>
                <w:rFonts w:ascii="Arial" w:hAnsi="Arial" w:cs="Arial"/>
                <w:color w:val="000000"/>
                <w:sz w:val="20"/>
              </w:rPr>
              <w:t>Further, there is also a need for additional requirement of 2-3 MHz spectrum within frequency range of 918-922 MHz band for LPWAN &amp; low power short range communications considering evolving Ecosystem for IoT &amp; M2M Services. Some of the present use cases are as follows:</w:t>
            </w:r>
          </w:p>
          <w:p w:rsidR="004126EC" w:rsidRDefault="004126EC" w:rsidP="004126EC">
            <w:pPr>
              <w:pStyle w:val="NormalWeb"/>
              <w:numPr>
                <w:ilvl w:val="0"/>
                <w:numId w:val="5"/>
              </w:numPr>
              <w:spacing w:before="0" w:beforeAutospacing="0" w:after="0" w:afterAutospacing="0"/>
              <w:ind w:left="360"/>
              <w:textAlignment w:val="baseline"/>
              <w:rPr>
                <w:rFonts w:ascii="Arial" w:hAnsi="Arial" w:cs="Arial"/>
                <w:color w:val="000000"/>
                <w:sz w:val="20"/>
              </w:rPr>
            </w:pPr>
            <w:r>
              <w:rPr>
                <w:rFonts w:ascii="Arial" w:hAnsi="Arial" w:cs="Arial"/>
                <w:color w:val="000000"/>
                <w:sz w:val="20"/>
              </w:rPr>
              <w:t>LPWA network for Smart Street lighting, worker safety, agriculture, and industrial automation, Asset tracking systems for logistics and supply chain management,</w:t>
            </w:r>
          </w:p>
          <w:p w:rsidR="004126EC" w:rsidRDefault="004126EC" w:rsidP="004126EC">
            <w:pPr>
              <w:pStyle w:val="NormalWeb"/>
              <w:numPr>
                <w:ilvl w:val="0"/>
                <w:numId w:val="5"/>
              </w:numPr>
              <w:spacing w:before="0" w:beforeAutospacing="0" w:after="0" w:afterAutospacing="0"/>
              <w:ind w:left="360"/>
              <w:textAlignment w:val="baseline"/>
              <w:rPr>
                <w:rFonts w:ascii="Arial" w:hAnsi="Arial" w:cs="Arial"/>
                <w:color w:val="000000"/>
                <w:sz w:val="20"/>
              </w:rPr>
            </w:pPr>
            <w:r>
              <w:rPr>
                <w:rFonts w:ascii="Arial" w:hAnsi="Arial" w:cs="Arial"/>
                <w:color w:val="000000"/>
                <w:sz w:val="20"/>
              </w:rPr>
              <w:t>RFID (Radio Frequency Identification) systems for tracking and inventory management.</w:t>
            </w:r>
          </w:p>
          <w:p w:rsidR="004126EC" w:rsidRDefault="004126EC" w:rsidP="004126EC">
            <w:pPr>
              <w:pStyle w:val="NormalWeb"/>
              <w:numPr>
                <w:ilvl w:val="0"/>
                <w:numId w:val="5"/>
              </w:numPr>
              <w:spacing w:before="0" w:beforeAutospacing="0" w:after="0" w:afterAutospacing="0"/>
              <w:ind w:left="360"/>
              <w:textAlignment w:val="baseline"/>
              <w:rPr>
                <w:rFonts w:ascii="Arial" w:hAnsi="Arial" w:cs="Arial"/>
                <w:color w:val="000000"/>
                <w:sz w:val="20"/>
              </w:rPr>
            </w:pPr>
            <w:r>
              <w:rPr>
                <w:rFonts w:ascii="Arial" w:hAnsi="Arial" w:cs="Arial"/>
                <w:color w:val="000000"/>
                <w:sz w:val="20"/>
              </w:rPr>
              <w:t>Wireless sensor networks for environmental monitoring.</w:t>
            </w:r>
          </w:p>
          <w:p w:rsidR="004126EC" w:rsidRDefault="004126EC" w:rsidP="004126EC">
            <w:pPr>
              <w:pStyle w:val="NormalWeb"/>
              <w:numPr>
                <w:ilvl w:val="0"/>
                <w:numId w:val="5"/>
              </w:numPr>
              <w:spacing w:before="0" w:beforeAutospacing="0" w:after="0" w:afterAutospacing="0"/>
              <w:ind w:left="360"/>
              <w:textAlignment w:val="baseline"/>
              <w:rPr>
                <w:rFonts w:ascii="Arial" w:hAnsi="Arial" w:cs="Arial"/>
                <w:color w:val="000000"/>
                <w:sz w:val="20"/>
              </w:rPr>
            </w:pPr>
            <w:r>
              <w:rPr>
                <w:rFonts w:ascii="Arial" w:hAnsi="Arial" w:cs="Arial"/>
                <w:color w:val="000000"/>
                <w:sz w:val="20"/>
              </w:rPr>
              <w:t>Remote control systems for home automation, industrial machinery, and automotive applications.</w:t>
            </w:r>
          </w:p>
          <w:p w:rsidR="004126EC" w:rsidRDefault="004126EC" w:rsidP="004126EC">
            <w:pPr>
              <w:pStyle w:val="NormalWeb"/>
              <w:numPr>
                <w:ilvl w:val="0"/>
                <w:numId w:val="5"/>
              </w:numPr>
              <w:spacing w:before="0" w:beforeAutospacing="0" w:after="0" w:afterAutospacing="0"/>
              <w:ind w:left="360"/>
              <w:textAlignment w:val="baseline"/>
              <w:rPr>
                <w:rFonts w:ascii="Arial" w:hAnsi="Arial" w:cs="Arial"/>
                <w:color w:val="000000"/>
                <w:sz w:val="20"/>
              </w:rPr>
            </w:pPr>
            <w:r>
              <w:rPr>
                <w:rFonts w:ascii="Arial" w:hAnsi="Arial" w:cs="Arial"/>
                <w:color w:val="000000"/>
                <w:sz w:val="20"/>
              </w:rPr>
              <w:t>Telemetry and data transmission in utilities such as smart metering and infrastructure monitoring.</w:t>
            </w:r>
          </w:p>
          <w:p w:rsidR="004126EC" w:rsidRDefault="004126EC" w:rsidP="004126EC">
            <w:pPr>
              <w:pStyle w:val="NormalWeb"/>
              <w:numPr>
                <w:ilvl w:val="0"/>
                <w:numId w:val="5"/>
              </w:numPr>
              <w:spacing w:before="0" w:beforeAutospacing="0" w:after="0" w:afterAutospacing="0"/>
              <w:ind w:left="360"/>
              <w:textAlignment w:val="baseline"/>
              <w:rPr>
                <w:rFonts w:ascii="Arial" w:hAnsi="Arial" w:cs="Arial"/>
                <w:color w:val="000000"/>
                <w:sz w:val="20"/>
              </w:rPr>
            </w:pPr>
            <w:r>
              <w:rPr>
                <w:rFonts w:ascii="Arial" w:hAnsi="Arial" w:cs="Arial"/>
                <w:color w:val="000000"/>
                <w:sz w:val="20"/>
              </w:rPr>
              <w:t>Wireless medical devices for patient monitoring and healthcare applications.</w:t>
            </w:r>
          </w:p>
          <w:p w:rsidR="004126EC" w:rsidRDefault="004126EC" w:rsidP="004126EC">
            <w:pPr>
              <w:pStyle w:val="NormalWeb"/>
              <w:numPr>
                <w:ilvl w:val="0"/>
                <w:numId w:val="5"/>
              </w:numPr>
              <w:spacing w:before="0" w:beforeAutospacing="0" w:after="160" w:afterAutospacing="0"/>
              <w:ind w:left="360"/>
              <w:textAlignment w:val="baseline"/>
              <w:rPr>
                <w:rFonts w:ascii="Arial" w:hAnsi="Arial" w:cs="Arial"/>
                <w:color w:val="000000"/>
                <w:sz w:val="20"/>
              </w:rPr>
            </w:pPr>
            <w:r>
              <w:rPr>
                <w:rFonts w:ascii="Arial" w:hAnsi="Arial" w:cs="Arial"/>
                <w:color w:val="000000"/>
                <w:sz w:val="20"/>
              </w:rPr>
              <w:t>Industrial process control and monitoring systems.</w:t>
            </w:r>
          </w:p>
          <w:p w:rsidR="004126EC" w:rsidRDefault="004126EC" w:rsidP="004126EC">
            <w:pPr>
              <w:rPr>
                <w:sz w:val="24"/>
                <w:szCs w:val="24"/>
              </w:rPr>
            </w:pPr>
          </w:p>
          <w:p w:rsidR="004126EC" w:rsidRDefault="004126EC" w:rsidP="004126EC">
            <w:pPr>
              <w:pStyle w:val="NormalWeb"/>
              <w:spacing w:before="0" w:beforeAutospacing="0" w:after="0" w:afterAutospacing="0"/>
            </w:pPr>
            <w:r>
              <w:rPr>
                <w:rFonts w:ascii="Arial" w:hAnsi="Arial" w:cs="Arial"/>
                <w:color w:val="000000"/>
                <w:sz w:val="20"/>
              </w:rPr>
              <w:lastRenderedPageBreak/>
              <w:t>These IoT applications leverage the ISM band's characteristics, such as its global availability, minimal regulatory constraints, and suitability for low-power, short-range communication.</w:t>
            </w:r>
          </w:p>
          <w:p w:rsidR="004126EC" w:rsidRDefault="004126EC" w:rsidP="004126EC"/>
          <w:p w:rsidR="00207981" w:rsidRDefault="00207981" w:rsidP="00D72E6E"/>
        </w:tc>
      </w:tr>
      <w:tr w:rsidR="004126EC" w:rsidTr="004126EC">
        <w:tc>
          <w:tcPr>
            <w:tcW w:w="681" w:type="dxa"/>
          </w:tcPr>
          <w:p w:rsidR="00207981" w:rsidRDefault="00207981" w:rsidP="00D72E6E">
            <w:r>
              <w:lastRenderedPageBreak/>
              <w:t>8</w:t>
            </w:r>
          </w:p>
        </w:tc>
        <w:tc>
          <w:tcPr>
            <w:tcW w:w="2008" w:type="dxa"/>
          </w:tcPr>
          <w:p w:rsidR="00207981" w:rsidRDefault="00207981" w:rsidP="00D72E6E">
            <w:r>
              <w:t>Minimum &amp; Maximum power with unit</w:t>
            </w:r>
          </w:p>
        </w:tc>
        <w:tc>
          <w:tcPr>
            <w:tcW w:w="11141" w:type="dxa"/>
          </w:tcPr>
          <w:p w:rsidR="00207981" w:rsidRDefault="004126EC" w:rsidP="00D72E6E">
            <w:pPr>
              <w:rPr>
                <w:rFonts w:ascii="Arial" w:hAnsi="Arial" w:cs="Arial"/>
                <w:color w:val="000000"/>
                <w:sz w:val="20"/>
              </w:rPr>
            </w:pPr>
            <w:r>
              <w:rPr>
                <w:rFonts w:ascii="Arial" w:hAnsi="Arial" w:cs="Arial"/>
                <w:color w:val="000000"/>
                <w:sz w:val="20"/>
              </w:rPr>
              <w:t>Ranging from 25mW (14 DBm) to 1W (30DBm) per Radio Unit depending upon indoor or outdoor area deployment with Adaptive power control.</w:t>
            </w:r>
          </w:p>
          <w:p w:rsidR="004126EC" w:rsidRDefault="004126EC" w:rsidP="00D72E6E">
            <w:pPr>
              <w:rPr>
                <w:rFonts w:ascii="Arial" w:hAnsi="Arial" w:cs="Arial"/>
                <w:color w:val="000000"/>
                <w:sz w:val="20"/>
              </w:rPr>
            </w:pPr>
            <w:r>
              <w:rPr>
                <w:rFonts w:ascii="Arial" w:hAnsi="Arial" w:cs="Arial"/>
                <w:color w:val="000000"/>
                <w:sz w:val="20"/>
              </w:rPr>
              <w:t>Minimum supported Channel Bandwidth 125 KHz and Maximum up to 1.4 MHz</w:t>
            </w:r>
          </w:p>
          <w:p w:rsidR="004126EC" w:rsidRDefault="004126EC" w:rsidP="00D72E6E">
            <w:r>
              <w:rPr>
                <w:rFonts w:ascii="Arial" w:hAnsi="Arial" w:cs="Arial"/>
                <w:color w:val="000000"/>
                <w:sz w:val="20"/>
              </w:rPr>
              <w:t>≤ 10 % duty cycle for network access points.</w:t>
            </w:r>
            <w:r>
              <w:rPr>
                <w:rFonts w:ascii="Arial" w:hAnsi="Arial" w:cs="Arial"/>
                <w:color w:val="000000"/>
                <w:sz w:val="20"/>
              </w:rPr>
              <w:br/>
              <w:t>≤ 1 % duty cycle for all end devices</w:t>
            </w:r>
          </w:p>
        </w:tc>
      </w:tr>
      <w:tr w:rsidR="004126EC" w:rsidTr="004126EC">
        <w:trPr>
          <w:trHeight w:val="790"/>
        </w:trPr>
        <w:tc>
          <w:tcPr>
            <w:tcW w:w="681" w:type="dxa"/>
          </w:tcPr>
          <w:p w:rsidR="00207981" w:rsidRDefault="00207981" w:rsidP="00D72E6E">
            <w:r>
              <w:t>9</w:t>
            </w:r>
          </w:p>
        </w:tc>
        <w:tc>
          <w:tcPr>
            <w:tcW w:w="2008" w:type="dxa"/>
          </w:tcPr>
          <w:p w:rsidR="00207981" w:rsidRDefault="00207981" w:rsidP="00D72E6E">
            <w:r>
              <w:t>Purpose</w:t>
            </w:r>
          </w:p>
        </w:tc>
        <w:tc>
          <w:tcPr>
            <w:tcW w:w="11141" w:type="dxa"/>
          </w:tcPr>
          <w:p w:rsidR="004126EC" w:rsidRDefault="004126EC" w:rsidP="004126EC">
            <w:pPr>
              <w:pStyle w:val="NormalWeb"/>
              <w:spacing w:before="0" w:beforeAutospacing="0" w:after="0" w:afterAutospacing="0"/>
            </w:pPr>
            <w:r>
              <w:rPr>
                <w:rFonts w:ascii="Arial" w:hAnsi="Arial" w:cs="Arial"/>
                <w:color w:val="000000"/>
                <w:sz w:val="20"/>
              </w:rPr>
              <w:t>The present allocation of 865-867 MHz is already being used by many services/users hence need additional requirement of 1 MHz to serve the end users efficiently.</w:t>
            </w:r>
          </w:p>
          <w:p w:rsidR="004126EC" w:rsidRDefault="004126EC" w:rsidP="004126EC"/>
          <w:p w:rsidR="004126EC" w:rsidRDefault="004126EC" w:rsidP="004126EC">
            <w:pPr>
              <w:pStyle w:val="NormalWeb"/>
              <w:spacing w:before="0" w:beforeAutospacing="0" w:after="0" w:afterAutospacing="0"/>
            </w:pPr>
            <w:r>
              <w:rPr>
                <w:rFonts w:ascii="Arial" w:hAnsi="Arial" w:cs="Arial"/>
                <w:color w:val="000000"/>
                <w:sz w:val="20"/>
              </w:rPr>
              <w:t>There is considerable ecosystem developing in 915-935 MHz bands for low power license exempt devices. Therefore, it is requested that the portion of this band as suggested above should also be made delicensed in India also in line with global trends.</w:t>
            </w:r>
          </w:p>
          <w:p w:rsidR="004126EC" w:rsidRDefault="004126EC" w:rsidP="004126EC">
            <w:pPr>
              <w:pStyle w:val="NormalWeb"/>
              <w:spacing w:before="0" w:beforeAutospacing="0" w:after="0" w:afterAutospacing="0"/>
            </w:pPr>
            <w:r>
              <w:rPr>
                <w:rFonts w:ascii="Arial" w:hAnsi="Arial" w:cs="Arial"/>
                <w:color w:val="000000"/>
                <w:sz w:val="20"/>
              </w:rPr>
              <w:t xml:space="preserve">                                                                                                                                                                                        This will help in a faster adoption of IoT and M2M services in the country. Moreover, it will give an opportunity for Indian manufacturers to compete in the global market in this segment. </w:t>
            </w:r>
          </w:p>
          <w:p w:rsidR="004126EC" w:rsidRDefault="004126EC" w:rsidP="004126EC"/>
          <w:p w:rsidR="00207981" w:rsidRDefault="00207981" w:rsidP="00D72E6E">
            <w:pPr>
              <w:jc w:val="both"/>
            </w:pPr>
          </w:p>
        </w:tc>
      </w:tr>
      <w:tr w:rsidR="004126EC" w:rsidRPr="00481EBE" w:rsidTr="004126EC">
        <w:tc>
          <w:tcPr>
            <w:tcW w:w="681" w:type="dxa"/>
          </w:tcPr>
          <w:p w:rsidR="00207981" w:rsidRDefault="00207981" w:rsidP="00D72E6E">
            <w:r>
              <w:t>10 (a)</w:t>
            </w:r>
          </w:p>
        </w:tc>
        <w:tc>
          <w:tcPr>
            <w:tcW w:w="2008" w:type="dxa"/>
          </w:tcPr>
          <w:p w:rsidR="00207981" w:rsidRDefault="00207981" w:rsidP="00D72E6E">
            <w:r>
              <w:t>Countries in which similar applications are used along with web link (if known)</w:t>
            </w:r>
          </w:p>
        </w:tc>
        <w:tc>
          <w:tcPr>
            <w:tcW w:w="11141" w:type="dxa"/>
          </w:tcPr>
          <w:p w:rsidR="00207981" w:rsidRPr="00207981" w:rsidRDefault="004126EC" w:rsidP="00207981">
            <w:r>
              <w:rPr>
                <w:rFonts w:ascii="Arial" w:hAnsi="Arial" w:cs="Arial"/>
                <w:color w:val="000000"/>
                <w:sz w:val="20"/>
              </w:rPr>
              <w:t>US, Australia, Japan, Singapore</w:t>
            </w:r>
          </w:p>
        </w:tc>
      </w:tr>
      <w:tr w:rsidR="004126EC" w:rsidTr="004126EC">
        <w:tc>
          <w:tcPr>
            <w:tcW w:w="681" w:type="dxa"/>
          </w:tcPr>
          <w:p w:rsidR="00207981" w:rsidRDefault="00207981" w:rsidP="00D72E6E">
            <w:pPr>
              <w:tabs>
                <w:tab w:val="left" w:pos="468"/>
              </w:tabs>
              <w:jc w:val="both"/>
            </w:pPr>
            <w:r>
              <w:t>10 (b)</w:t>
            </w:r>
          </w:p>
        </w:tc>
        <w:tc>
          <w:tcPr>
            <w:tcW w:w="2008" w:type="dxa"/>
          </w:tcPr>
          <w:p w:rsidR="00207981" w:rsidRDefault="00207981" w:rsidP="00D72E6E">
            <w:r>
              <w:t>Provisions in frequency allocation table along with footnote of the country along with web link (if known)</w:t>
            </w:r>
          </w:p>
        </w:tc>
        <w:tc>
          <w:tcPr>
            <w:tcW w:w="11141" w:type="dxa"/>
          </w:tcPr>
          <w:p w:rsidR="00207981" w:rsidRDefault="00207981" w:rsidP="00207981"/>
        </w:tc>
      </w:tr>
      <w:tr w:rsidR="004126EC" w:rsidTr="004126EC">
        <w:tc>
          <w:tcPr>
            <w:tcW w:w="681" w:type="dxa"/>
          </w:tcPr>
          <w:p w:rsidR="00207981" w:rsidRDefault="00207981" w:rsidP="00D72E6E">
            <w:pPr>
              <w:tabs>
                <w:tab w:val="left" w:pos="468"/>
              </w:tabs>
              <w:jc w:val="both"/>
            </w:pPr>
            <w:r>
              <w:t>11</w:t>
            </w:r>
          </w:p>
        </w:tc>
        <w:tc>
          <w:tcPr>
            <w:tcW w:w="2008" w:type="dxa"/>
          </w:tcPr>
          <w:p w:rsidR="00207981" w:rsidRDefault="00207981" w:rsidP="00D72E6E">
            <w:r>
              <w:t>Radio Regulations provisions (if known)</w:t>
            </w:r>
          </w:p>
        </w:tc>
        <w:tc>
          <w:tcPr>
            <w:tcW w:w="11141" w:type="dxa"/>
          </w:tcPr>
          <w:p w:rsidR="00207981" w:rsidRDefault="00207981" w:rsidP="00D72E6E"/>
        </w:tc>
      </w:tr>
      <w:tr w:rsidR="004126EC" w:rsidTr="004126EC">
        <w:tc>
          <w:tcPr>
            <w:tcW w:w="681" w:type="dxa"/>
          </w:tcPr>
          <w:p w:rsidR="00207981" w:rsidRDefault="00207981" w:rsidP="00D72E6E">
            <w:pPr>
              <w:tabs>
                <w:tab w:val="left" w:pos="468"/>
              </w:tabs>
              <w:jc w:val="both"/>
            </w:pPr>
            <w:r>
              <w:t>12*</w:t>
            </w:r>
          </w:p>
        </w:tc>
        <w:tc>
          <w:tcPr>
            <w:tcW w:w="2008" w:type="dxa"/>
          </w:tcPr>
          <w:p w:rsidR="00207981" w:rsidRDefault="00207981" w:rsidP="00D72E6E">
            <w:r>
              <w:t>Type of Radiocommunication service</w:t>
            </w:r>
          </w:p>
        </w:tc>
        <w:tc>
          <w:tcPr>
            <w:tcW w:w="11141" w:type="dxa"/>
          </w:tcPr>
          <w:p w:rsidR="00207981" w:rsidRDefault="00207981" w:rsidP="00D72E6E">
            <w:r>
              <w:t xml:space="preserve">Mobile service - </w:t>
            </w:r>
            <w:r w:rsidR="004126EC">
              <w:rPr>
                <w:rFonts w:ascii="Arial" w:hAnsi="Arial" w:cs="Arial"/>
                <w:color w:val="000000"/>
                <w:sz w:val="20"/>
              </w:rPr>
              <w:t>LPWA network</w:t>
            </w:r>
          </w:p>
        </w:tc>
      </w:tr>
      <w:tr w:rsidR="004126EC" w:rsidRPr="007A1A3F" w:rsidTr="004126EC">
        <w:trPr>
          <w:trHeight w:val="708"/>
        </w:trPr>
        <w:tc>
          <w:tcPr>
            <w:tcW w:w="681" w:type="dxa"/>
          </w:tcPr>
          <w:p w:rsidR="00207981" w:rsidRDefault="00207981" w:rsidP="00D72E6E">
            <w:r>
              <w:lastRenderedPageBreak/>
              <w:t>13</w:t>
            </w:r>
          </w:p>
        </w:tc>
        <w:tc>
          <w:tcPr>
            <w:tcW w:w="2008" w:type="dxa"/>
          </w:tcPr>
          <w:p w:rsidR="00207981" w:rsidRDefault="00207981" w:rsidP="00D72E6E">
            <w:r>
              <w:t xml:space="preserve">Compatible Wireless Standard for the device likely to work in the proposed band (ETSI, 3GPP, IEEE, EC, FCC, TEC etc. or any proprietary standard) </w:t>
            </w:r>
          </w:p>
        </w:tc>
        <w:tc>
          <w:tcPr>
            <w:tcW w:w="11141" w:type="dxa"/>
          </w:tcPr>
          <w:p w:rsidR="00207981" w:rsidRPr="007A1A3F" w:rsidRDefault="004126EC" w:rsidP="00D72E6E">
            <w:pPr>
              <w:rPr>
                <w:lang w:val="de-DE"/>
              </w:rPr>
            </w:pPr>
            <w:r>
              <w:rPr>
                <w:rFonts w:ascii="Arial" w:hAnsi="Arial" w:cs="Arial"/>
                <w:color w:val="000000"/>
                <w:sz w:val="20"/>
              </w:rPr>
              <w:t>LPWA network</w:t>
            </w:r>
          </w:p>
        </w:tc>
      </w:tr>
      <w:tr w:rsidR="004126EC" w:rsidTr="004126EC">
        <w:trPr>
          <w:trHeight w:val="708"/>
        </w:trPr>
        <w:tc>
          <w:tcPr>
            <w:tcW w:w="681" w:type="dxa"/>
          </w:tcPr>
          <w:p w:rsidR="00207981" w:rsidRDefault="00207981" w:rsidP="00D72E6E">
            <w:r>
              <w:t>14</w:t>
            </w:r>
          </w:p>
        </w:tc>
        <w:tc>
          <w:tcPr>
            <w:tcW w:w="2008" w:type="dxa"/>
          </w:tcPr>
          <w:p w:rsidR="00207981" w:rsidRDefault="00207981" w:rsidP="00D72E6E">
            <w:r>
              <w:t>Benefit for public</w:t>
            </w:r>
          </w:p>
        </w:tc>
        <w:tc>
          <w:tcPr>
            <w:tcW w:w="11141" w:type="dxa"/>
          </w:tcPr>
          <w:p w:rsidR="00DC2DD2" w:rsidRPr="004126EC" w:rsidRDefault="00DC2DD2" w:rsidP="004126EC">
            <w:pPr>
              <w:rPr>
                <w:rFonts w:ascii="Arial" w:hAnsi="Arial" w:cs="Arial"/>
                <w:color w:val="000000"/>
                <w:sz w:val="20"/>
              </w:rPr>
            </w:pPr>
            <w:r w:rsidRPr="004126EC">
              <w:rPr>
                <w:rFonts w:ascii="Arial" w:hAnsi="Arial" w:cs="Arial"/>
                <w:color w:val="000000"/>
                <w:sz w:val="20"/>
              </w:rPr>
              <w:t>Low-power WAN (LPWAN) is a wireless wide area network technology that interconnects low-bandwidth, battery-powered devices with low bit rates over long ranges.</w:t>
            </w:r>
            <w:r w:rsidR="004126EC">
              <w:rPr>
                <w:rFonts w:ascii="Arial" w:hAnsi="Arial" w:cs="Arial"/>
                <w:color w:val="000000"/>
                <w:sz w:val="20"/>
              </w:rPr>
              <w:t xml:space="preserve"> </w:t>
            </w:r>
            <w:r w:rsidRPr="004126EC">
              <w:rPr>
                <w:rFonts w:ascii="Arial" w:hAnsi="Arial" w:cs="Arial"/>
                <w:color w:val="000000"/>
                <w:sz w:val="20"/>
              </w:rPr>
              <w:t>Created for </w:t>
            </w:r>
            <w:r w:rsidRPr="004126EC">
              <w:rPr>
                <w:rFonts w:ascii="Arial" w:hAnsi="Arial" w:cs="Arial"/>
                <w:color w:val="000000"/>
                <w:sz w:val="20"/>
              </w:rPr>
              <w:t xml:space="preserve">M2M and IOT </w:t>
            </w:r>
            <w:r w:rsidRPr="004126EC">
              <w:rPr>
                <w:rFonts w:ascii="Arial" w:hAnsi="Arial" w:cs="Arial"/>
                <w:color w:val="000000"/>
                <w:sz w:val="20"/>
              </w:rPr>
              <w:t>networks, LPWANs operate at a lower cost with greater power efficiency than traditional mobile networks. They are also able to support a greater number of connected devices over a larger area.</w:t>
            </w:r>
            <w:r w:rsidR="004126EC">
              <w:rPr>
                <w:rFonts w:ascii="Arial" w:hAnsi="Arial" w:cs="Arial"/>
                <w:color w:val="000000"/>
                <w:sz w:val="20"/>
              </w:rPr>
              <w:t xml:space="preserve"> </w:t>
            </w:r>
            <w:r w:rsidRPr="004126EC">
              <w:rPr>
                <w:rFonts w:ascii="Arial" w:hAnsi="Arial" w:cs="Arial"/>
                <w:color w:val="000000"/>
                <w:sz w:val="20"/>
              </w:rPr>
              <w:t>Most LPWANs have a star topology where, similar to </w:t>
            </w:r>
            <w:hyperlink r:id="rId5" w:history="1">
              <w:r w:rsidRPr="004126EC">
                <w:rPr>
                  <w:color w:val="000000"/>
                  <w:sz w:val="20"/>
                </w:rPr>
                <w:t>Wi-Fi</w:t>
              </w:r>
            </w:hyperlink>
            <w:r w:rsidRPr="004126EC">
              <w:rPr>
                <w:rFonts w:ascii="Arial" w:hAnsi="Arial" w:cs="Arial"/>
                <w:color w:val="000000"/>
                <w:sz w:val="20"/>
              </w:rPr>
              <w:t>, each endpoint connects directly to common central access points.</w:t>
            </w:r>
            <w:r w:rsidR="004126EC">
              <w:rPr>
                <w:rFonts w:ascii="Arial" w:hAnsi="Arial" w:cs="Arial"/>
                <w:color w:val="000000"/>
                <w:sz w:val="20"/>
              </w:rPr>
              <w:t xml:space="preserve"> </w:t>
            </w:r>
            <w:r w:rsidRPr="004126EC">
              <w:rPr>
                <w:rFonts w:ascii="Arial" w:hAnsi="Arial" w:cs="Arial"/>
                <w:color w:val="000000"/>
                <w:sz w:val="20"/>
              </w:rPr>
              <w:t>LPWAN is not a single technology, but a group of various low-power, wide area network technologies that take many shapes and forms. LPWANs can use </w:t>
            </w:r>
            <w:hyperlink r:id="rId6" w:history="1">
              <w:r w:rsidRPr="004126EC">
                <w:rPr>
                  <w:rFonts w:ascii="Arial" w:hAnsi="Arial" w:cs="Arial"/>
                  <w:color w:val="000000"/>
                  <w:sz w:val="20"/>
                </w:rPr>
                <w:t>licensed or unlicensed frequencies</w:t>
              </w:r>
            </w:hyperlink>
            <w:r w:rsidRPr="004126EC">
              <w:rPr>
                <w:rFonts w:ascii="Arial" w:hAnsi="Arial" w:cs="Arial"/>
                <w:color w:val="000000"/>
                <w:sz w:val="20"/>
              </w:rPr>
              <w:t xml:space="preserve"> and include proprietary or open standard </w:t>
            </w:r>
            <w:proofErr w:type="spellStart"/>
            <w:r w:rsidRPr="004126EC">
              <w:rPr>
                <w:rFonts w:ascii="Arial" w:hAnsi="Arial" w:cs="Arial"/>
                <w:color w:val="000000"/>
                <w:sz w:val="20"/>
              </w:rPr>
              <w:t>options.The</w:t>
            </w:r>
            <w:proofErr w:type="spellEnd"/>
            <w:r w:rsidRPr="004126EC">
              <w:rPr>
                <w:rFonts w:ascii="Arial" w:hAnsi="Arial" w:cs="Arial"/>
                <w:color w:val="000000"/>
                <w:sz w:val="20"/>
              </w:rPr>
              <w:t xml:space="preserve"> proprietary, unlicensed Sigfox is one of the most widely deployed LPWANs today. Running over a public network in the 868 MHz or 9</w:t>
            </w:r>
            <w:r w:rsidRPr="004126EC">
              <w:rPr>
                <w:rFonts w:ascii="Arial" w:hAnsi="Arial" w:cs="Arial"/>
                <w:color w:val="000000"/>
                <w:sz w:val="20"/>
              </w:rPr>
              <w:t>2</w:t>
            </w:r>
            <w:r w:rsidRPr="004126EC">
              <w:rPr>
                <w:rFonts w:ascii="Arial" w:hAnsi="Arial" w:cs="Arial"/>
                <w:color w:val="000000"/>
                <w:sz w:val="20"/>
              </w:rPr>
              <w:t>2 MHz bands, the ultra-narrowband technology only allows a single operator per country. While it can deliver messages over distances of 30-50 km in rural areas, 3-10 km in urban settings and up to 1,000 km in line-of-site applications, its packet size is limited to 150 messages of 12 bytes per day. Downlink packets are smaller, limited to four messages of 8 bytes per day. Sending data back to endpoints can also be prone to interference.</w:t>
            </w:r>
          </w:p>
          <w:p w:rsidR="00207981" w:rsidRPr="004126EC" w:rsidRDefault="00207981" w:rsidP="004126EC">
            <w:pPr>
              <w:rPr>
                <w:rFonts w:ascii="Arial" w:hAnsi="Arial" w:cs="Arial"/>
                <w:color w:val="000000"/>
                <w:sz w:val="20"/>
              </w:rPr>
            </w:pPr>
          </w:p>
        </w:tc>
      </w:tr>
      <w:tr w:rsidR="004126EC" w:rsidTr="004126EC">
        <w:tc>
          <w:tcPr>
            <w:tcW w:w="681" w:type="dxa"/>
          </w:tcPr>
          <w:p w:rsidR="00207981" w:rsidRDefault="00207981" w:rsidP="00D72E6E">
            <w:r>
              <w:t>15</w:t>
            </w:r>
          </w:p>
        </w:tc>
        <w:tc>
          <w:tcPr>
            <w:tcW w:w="2008" w:type="dxa"/>
          </w:tcPr>
          <w:p w:rsidR="00207981" w:rsidRDefault="00207981" w:rsidP="00D72E6E">
            <w:r>
              <w:t>If modification in NFAP-2022 footnote, then quote relevant footnote no. of NFAP-22</w:t>
            </w:r>
          </w:p>
        </w:tc>
        <w:tc>
          <w:tcPr>
            <w:tcW w:w="11141" w:type="dxa"/>
          </w:tcPr>
          <w:p w:rsidR="00DC2DD2" w:rsidRDefault="00207981" w:rsidP="00DC2DD2">
            <w:r>
              <w:t>IAFI proposes the following text for a new India footnote</w:t>
            </w:r>
            <w:r w:rsidR="00DC2DD2">
              <w:t xml:space="preserve"> to support NB-IOT</w:t>
            </w:r>
            <w:r>
              <w:t>: “</w:t>
            </w:r>
            <w:r w:rsidRPr="25299AAF">
              <w:rPr>
                <w:i/>
                <w:iCs/>
              </w:rPr>
              <w:t>IND X</w:t>
            </w:r>
            <w:r w:rsidR="00DC2DD2">
              <w:t xml:space="preserve">: </w:t>
            </w:r>
            <w:proofErr w:type="gramStart"/>
            <w:r w:rsidR="00DC2DD2" w:rsidRPr="00D72E6E">
              <w:rPr>
                <w:rFonts w:asciiTheme="minorHAnsi" w:hAnsiTheme="minorHAnsi" w:cstheme="minorBidi"/>
                <w:kern w:val="2"/>
                <w:sz w:val="24"/>
                <w:szCs w:val="24"/>
              </w:rPr>
              <w:t>The  frequency</w:t>
            </w:r>
            <w:proofErr w:type="gramEnd"/>
            <w:r w:rsidR="00DC2DD2" w:rsidRPr="00D72E6E">
              <w:rPr>
                <w:rFonts w:asciiTheme="minorHAnsi" w:hAnsiTheme="minorHAnsi" w:cstheme="minorBidi"/>
                <w:kern w:val="2"/>
                <w:sz w:val="24"/>
                <w:szCs w:val="24"/>
              </w:rPr>
              <w:t xml:space="preserve"> range of 918-922 MHz band may be used for LPWAN &amp; low power short range communications, in addition to the band 865-868 MHz</w:t>
            </w:r>
          </w:p>
          <w:p w:rsidR="00207981" w:rsidRDefault="00207981" w:rsidP="00D72E6E">
            <w:pPr>
              <w:jc w:val="both"/>
            </w:pPr>
            <w:r w:rsidRPr="25299AAF">
              <w:rPr>
                <w:i/>
                <w:iCs/>
              </w:rPr>
              <w:t>.</w:t>
            </w:r>
            <w:r>
              <w:t>”</w:t>
            </w:r>
          </w:p>
        </w:tc>
      </w:tr>
      <w:tr w:rsidR="004126EC" w:rsidTr="004126EC">
        <w:trPr>
          <w:trHeight w:val="433"/>
        </w:trPr>
        <w:tc>
          <w:tcPr>
            <w:tcW w:w="681" w:type="dxa"/>
          </w:tcPr>
          <w:p w:rsidR="00207981" w:rsidRDefault="00207981" w:rsidP="00D72E6E">
            <w:r>
              <w:t>16</w:t>
            </w:r>
          </w:p>
        </w:tc>
        <w:tc>
          <w:tcPr>
            <w:tcW w:w="2008" w:type="dxa"/>
          </w:tcPr>
          <w:p w:rsidR="00207981" w:rsidRDefault="00207981" w:rsidP="00D72E6E">
            <w:r>
              <w:t>Remarks</w:t>
            </w:r>
          </w:p>
          <w:p w:rsidR="00207981" w:rsidRDefault="00207981" w:rsidP="00D72E6E"/>
          <w:p w:rsidR="00207981" w:rsidRDefault="00207981" w:rsidP="00D72E6E"/>
        </w:tc>
        <w:tc>
          <w:tcPr>
            <w:tcW w:w="11141" w:type="dxa"/>
          </w:tcPr>
          <w:p w:rsidR="00207981" w:rsidRDefault="00207981" w:rsidP="00D72E6E">
            <w:pPr>
              <w:tabs>
                <w:tab w:val="left" w:pos="2743"/>
              </w:tabs>
              <w:jc w:val="both"/>
            </w:pPr>
          </w:p>
        </w:tc>
      </w:tr>
    </w:tbl>
    <w:p w:rsidR="00207981" w:rsidRDefault="00207981" w:rsidP="00207981">
      <w:r>
        <w:t>Note.</w:t>
      </w:r>
    </w:p>
    <w:p w:rsidR="00207981" w:rsidRDefault="00207981" w:rsidP="00207981">
      <w:r>
        <w:t>5</w:t>
      </w:r>
      <w:proofErr w:type="gramStart"/>
      <w:r>
        <w:t>* .</w:t>
      </w:r>
      <w:proofErr w:type="gramEnd"/>
      <w:r>
        <w:t xml:space="preserve"> Construction service / Manufacturing service/ Shipping Service/Aeronautical Service </w:t>
      </w:r>
      <w:proofErr w:type="spellStart"/>
      <w:r>
        <w:t>etc</w:t>
      </w:r>
      <w:proofErr w:type="spellEnd"/>
    </w:p>
    <w:p w:rsidR="00207981" w:rsidRDefault="00207981" w:rsidP="00207981">
      <w:r>
        <w:t>7*.  Specify the operation of service (</w:t>
      </w:r>
      <w:proofErr w:type="spellStart"/>
      <w:r>
        <w:t>e.g</w:t>
      </w:r>
      <w:proofErr w:type="spellEnd"/>
      <w:r>
        <w:t xml:space="preserve"> Hand held radio/ Vehicle mobile radio/ point to point links/FM/Community Radio/</w:t>
      </w:r>
      <w:proofErr w:type="spellStart"/>
      <w:r>
        <w:t>Aeromobile</w:t>
      </w:r>
      <w:proofErr w:type="spellEnd"/>
      <w:r>
        <w:t xml:space="preserve">/Short Rang </w:t>
      </w:r>
      <w:proofErr w:type="gramStart"/>
      <w:r>
        <w:t xml:space="preserve">Device  </w:t>
      </w:r>
      <w:proofErr w:type="spellStart"/>
      <w:r>
        <w:t>etc</w:t>
      </w:r>
      <w:proofErr w:type="spellEnd"/>
      <w:proofErr w:type="gramEnd"/>
    </w:p>
    <w:p w:rsidR="00207981" w:rsidRDefault="00207981" w:rsidP="00207981">
      <w:r>
        <w:t xml:space="preserve">12* Amateur/Fixed/Land mobile/Aeronautical mobile/Maritime Mobile/Aeronautical radio navigation/FM broadcast/Community Radio Service </w:t>
      </w:r>
      <w:proofErr w:type="spellStart"/>
      <w:r>
        <w:t>etc</w:t>
      </w:r>
      <w:proofErr w:type="spellEnd"/>
    </w:p>
    <w:p w:rsidR="00207981" w:rsidRDefault="00207981" w:rsidP="00207981">
      <w:pPr>
        <w:jc w:val="right"/>
      </w:pPr>
    </w:p>
    <w:p w:rsidR="00207981" w:rsidRDefault="00207981" w:rsidP="00207981">
      <w:pPr>
        <w:jc w:val="right"/>
      </w:pPr>
    </w:p>
    <w:p w:rsidR="00207981" w:rsidRDefault="00207981" w:rsidP="00207981">
      <w:pPr>
        <w:jc w:val="right"/>
      </w:pPr>
    </w:p>
    <w:p w:rsidR="00207981" w:rsidRDefault="00207981" w:rsidP="00207981">
      <w:pPr>
        <w:jc w:val="right"/>
      </w:pPr>
    </w:p>
    <w:p w:rsidR="00207981" w:rsidRDefault="00207981" w:rsidP="00207981">
      <w:pPr>
        <w:jc w:val="right"/>
      </w:pPr>
    </w:p>
    <w:p w:rsidR="00207981" w:rsidRDefault="00207981" w:rsidP="00207981">
      <w:pPr>
        <w:jc w:val="right"/>
      </w:pPr>
    </w:p>
    <w:p w:rsidR="00207981" w:rsidRDefault="00207981" w:rsidP="00207981">
      <w:pPr>
        <w:jc w:val="right"/>
      </w:pPr>
    </w:p>
    <w:p w:rsidR="00207981" w:rsidRDefault="00207981" w:rsidP="00207981">
      <w:pPr>
        <w:jc w:val="right"/>
      </w:pPr>
      <w:r>
        <w:t>Date and Signature</w:t>
      </w:r>
    </w:p>
    <w:p w:rsidR="009E4196" w:rsidRDefault="009E4196"/>
    <w:sectPr w:rsidR="009E4196" w:rsidSect="004126EC">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47133D"/>
    <w:multiLevelType w:val="hybridMultilevel"/>
    <w:tmpl w:val="5F966ACE"/>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3F5471B"/>
    <w:multiLevelType w:val="hybridMultilevel"/>
    <w:tmpl w:val="77DA7E6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5E2867A1"/>
    <w:multiLevelType w:val="multilevel"/>
    <w:tmpl w:val="9CB40E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E856C1E"/>
    <w:multiLevelType w:val="hybridMultilevel"/>
    <w:tmpl w:val="6D781AAE"/>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2FD48A6"/>
    <w:multiLevelType w:val="hybridMultilevel"/>
    <w:tmpl w:val="8738E722"/>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102141529">
    <w:abstractNumId w:val="1"/>
  </w:num>
  <w:num w:numId="2" w16cid:durableId="320813557">
    <w:abstractNumId w:val="4"/>
  </w:num>
  <w:num w:numId="3" w16cid:durableId="1012222932">
    <w:abstractNumId w:val="0"/>
  </w:num>
  <w:num w:numId="4" w16cid:durableId="902567280">
    <w:abstractNumId w:val="3"/>
  </w:num>
  <w:num w:numId="5" w16cid:durableId="15427485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981"/>
    <w:rsid w:val="0007168F"/>
    <w:rsid w:val="00207981"/>
    <w:rsid w:val="003C02FF"/>
    <w:rsid w:val="003E24EF"/>
    <w:rsid w:val="004126EC"/>
    <w:rsid w:val="005C7199"/>
    <w:rsid w:val="00687603"/>
    <w:rsid w:val="00736A3B"/>
    <w:rsid w:val="008468A0"/>
    <w:rsid w:val="00986C0D"/>
    <w:rsid w:val="009E4196"/>
    <w:rsid w:val="00AB445E"/>
    <w:rsid w:val="00DC2DD2"/>
    <w:rsid w:val="00F42B5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4:docId w14:val="491F5DE7"/>
  <w15:chartTrackingRefBased/>
  <w15:docId w15:val="{08BDF422-2FB5-A141-8CDB-B9BF0CB87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I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7981"/>
    <w:rPr>
      <w:rFonts w:ascii="Times New Roman" w:eastAsia="Times New Roman" w:hAnsi="Times New Roman" w:cs="Times New Roman"/>
      <w:kern w:val="0"/>
      <w:lang w:val="en-US"/>
      <w14:ligatures w14:val="none"/>
    </w:rPr>
  </w:style>
  <w:style w:type="paragraph" w:styleId="Heading2">
    <w:name w:val="heading 2"/>
    <w:basedOn w:val="Normal"/>
    <w:link w:val="Heading2Char"/>
    <w:uiPriority w:val="9"/>
    <w:qFormat/>
    <w:rsid w:val="00DC2DD2"/>
    <w:pPr>
      <w:spacing w:before="100" w:beforeAutospacing="1" w:after="100" w:afterAutospacing="1"/>
      <w:outlineLvl w:val="1"/>
    </w:pPr>
    <w:rPr>
      <w:b/>
      <w:bCs/>
      <w:sz w:val="36"/>
      <w:szCs w:val="36"/>
      <w:lang w:val="en-IN"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07981"/>
    <w:rPr>
      <w:kern w:val="0"/>
      <w:sz w:val="22"/>
      <w:szCs w:val="20"/>
      <w:lang w:bidi="hi-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07981"/>
    <w:pPr>
      <w:ind w:left="720"/>
      <w:contextualSpacing/>
    </w:pPr>
  </w:style>
  <w:style w:type="character" w:styleId="Hyperlink">
    <w:name w:val="Hyperlink"/>
    <w:aliases w:val="ECC Hyperlink,超级链接,CEO_Hyperlink"/>
    <w:basedOn w:val="DefaultParagraphFont"/>
    <w:uiPriority w:val="99"/>
    <w:unhideWhenUsed/>
    <w:rsid w:val="00207981"/>
    <w:rPr>
      <w:color w:val="0563C1" w:themeColor="hyperlink"/>
      <w:u w:val="single"/>
    </w:rPr>
  </w:style>
  <w:style w:type="character" w:customStyle="1" w:styleId="Heading2Char">
    <w:name w:val="Heading 2 Char"/>
    <w:basedOn w:val="DefaultParagraphFont"/>
    <w:link w:val="Heading2"/>
    <w:uiPriority w:val="9"/>
    <w:rsid w:val="00DC2DD2"/>
    <w:rPr>
      <w:rFonts w:ascii="Times New Roman" w:eastAsia="Times New Roman" w:hAnsi="Times New Roman" w:cs="Times New Roman"/>
      <w:b/>
      <w:bCs/>
      <w:kern w:val="0"/>
      <w:sz w:val="36"/>
      <w:szCs w:val="36"/>
      <w:lang w:eastAsia="en-GB"/>
      <w14:ligatures w14:val="none"/>
    </w:rPr>
  </w:style>
  <w:style w:type="paragraph" w:styleId="NormalWeb">
    <w:name w:val="Normal (Web)"/>
    <w:basedOn w:val="Normal"/>
    <w:uiPriority w:val="99"/>
    <w:semiHidden/>
    <w:unhideWhenUsed/>
    <w:rsid w:val="00DC2DD2"/>
    <w:pPr>
      <w:spacing w:before="100" w:beforeAutospacing="1" w:after="100" w:afterAutospacing="1"/>
    </w:pPr>
    <w:rPr>
      <w:lang w:val="en-IN"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8126263">
      <w:bodyDiv w:val="1"/>
      <w:marLeft w:val="0"/>
      <w:marRight w:val="0"/>
      <w:marTop w:val="0"/>
      <w:marBottom w:val="0"/>
      <w:divBdr>
        <w:top w:val="none" w:sz="0" w:space="0" w:color="auto"/>
        <w:left w:val="none" w:sz="0" w:space="0" w:color="auto"/>
        <w:bottom w:val="none" w:sz="0" w:space="0" w:color="auto"/>
        <w:right w:val="none" w:sz="0" w:space="0" w:color="auto"/>
      </w:divBdr>
    </w:div>
    <w:div w:id="631710152">
      <w:bodyDiv w:val="1"/>
      <w:marLeft w:val="0"/>
      <w:marRight w:val="0"/>
      <w:marTop w:val="0"/>
      <w:marBottom w:val="0"/>
      <w:divBdr>
        <w:top w:val="none" w:sz="0" w:space="0" w:color="auto"/>
        <w:left w:val="none" w:sz="0" w:space="0" w:color="auto"/>
        <w:bottom w:val="none" w:sz="0" w:space="0" w:color="auto"/>
        <w:right w:val="none" w:sz="0" w:space="0" w:color="auto"/>
      </w:divBdr>
    </w:div>
    <w:div w:id="1250695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echtarget.com/searchnetworking/answer/Whats-the-difference-between-licensed-and-unlicensed-wireless" TargetMode="External"/><Relationship Id="rId5" Type="http://schemas.openxmlformats.org/officeDocument/2006/relationships/hyperlink" Target="https://www.techtarget.com/searchmobilecomputing/definition/Wi-Fi"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872</Words>
  <Characters>4975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IAFI</dc:creator>
  <cp:keywords/>
  <dc:description/>
  <cp:lastModifiedBy>IAFI</cp:lastModifiedBy>
  <cp:revision>2</cp:revision>
  <dcterms:created xsi:type="dcterms:W3CDTF">2024-08-13T10:22:00Z</dcterms:created>
  <dcterms:modified xsi:type="dcterms:W3CDTF">2024-08-13T10:22:00Z</dcterms:modified>
</cp:coreProperties>
</file>